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支持方向说明</w:t>
      </w:r>
    </w:p>
    <w:bookmarkEnd w:id="0"/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Cs w:val="32"/>
          <w:lang w:val="en-US" w:eastAsia="zh-CN"/>
        </w:rPr>
        <w:t>一、九大重点产业数字技术赋能平台项目支持方向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eastAsia" w:asci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肉牛和滩羊产业。</w:t>
      </w:r>
      <w:r>
        <w:rPr>
          <w:rFonts w:hint="eastAsia" w:asci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鼓励肉牛和滩羊产业在育种、养殖、屠宰加工、营销体系等领域开展数字化建设，重点推动产品溯源、数字营销平台建设。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eastAsia" w:asci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奶产业。</w:t>
      </w:r>
      <w:r>
        <w:rPr>
          <w:rFonts w:hint="eastAsia" w:asci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重点支持奶产业新品种选育、奶牛科学化养殖领域数字化应用及信息化平台建设。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eastAsia" w:asci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枸杞产业。</w:t>
      </w:r>
      <w:r>
        <w:rPr>
          <w:rFonts w:hint="eastAsia" w:asci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鼓励枸杞产业种植、加工、销售等环节数字化应用，重点支持服务全区的枸杞产品质量溯源体系。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eastAsia" w:asci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葡萄酒产业。</w:t>
      </w:r>
      <w:r>
        <w:rPr>
          <w:rFonts w:hint="eastAsia" w:asci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加快推进葡萄酒产业数字化发展，重点支持数字化交易平台、科技服务系统、电子商务平台等建设。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新型材料产业。</w:t>
      </w:r>
      <w:r>
        <w:rPr>
          <w:rFonts w:ascii="Times New Roman" w:hAnsi="Times New Roman"/>
        </w:rPr>
        <w:t>鼓励企业推进采购、生产、销售、财务管理等生产经营全过程数字化升级，探索发展大规模个性化定制、网络化协同制造等新模式新业态。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清洁能源</w:t>
      </w:r>
      <w:r>
        <w:rPr>
          <w:rFonts w:hint="eastAsia" w:ascii="Times New Roman" w:hAnsi="Times New Roman"/>
          <w:b/>
          <w:bCs/>
          <w:lang w:eastAsia="zh-CN"/>
        </w:rPr>
        <w:t>产业</w:t>
      </w:r>
      <w:r>
        <w:rPr>
          <w:rFonts w:ascii="Times New Roman" w:hAnsi="Times New Roman"/>
          <w:b/>
          <w:bCs/>
        </w:rPr>
        <w:t>。</w:t>
      </w:r>
      <w:r>
        <w:rPr>
          <w:rFonts w:hint="eastAsia" w:ascii="Times New Roman" w:hAnsi="Times New Roman"/>
          <w:b w:val="0"/>
          <w:bCs w:val="0"/>
          <w:lang w:eastAsia="zh-CN"/>
        </w:rPr>
        <w:t>鼓励</w:t>
      </w:r>
      <w:r>
        <w:rPr>
          <w:rFonts w:ascii="Times New Roman" w:hAnsi="Times New Roman"/>
        </w:rPr>
        <w:t>企业在生产运营、设备维护等领域推进大数据、人工智能等先进技术应用，</w:t>
      </w:r>
      <w:r>
        <w:rPr>
          <w:rFonts w:hint="eastAsia" w:ascii="Times New Roman" w:hAnsi="Times New Roman"/>
          <w:lang w:eastAsia="zh-CN"/>
        </w:rPr>
        <w:t>重点支持智慧能耗监测、智慧能源基础设施建设及</w:t>
      </w:r>
      <w:r>
        <w:rPr>
          <w:rFonts w:ascii="Times New Roman" w:hAnsi="Times New Roman"/>
        </w:rPr>
        <w:t>智能化电力管理、运行、维护等后市场服务。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绿色食品产业。</w:t>
      </w:r>
      <w:r>
        <w:rPr>
          <w:rFonts w:ascii="Times New Roman" w:hAnsi="Times New Roman"/>
        </w:rPr>
        <w:t>鼓励绿色食品产业企业在产品开发、生产及营销领域积极探索大数据应用，重点鼓励建设数字化的绿色食品销售流通供应链体系、运营服务体系和支撑保障体系。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文化旅游产业。</w:t>
      </w:r>
      <w:r>
        <w:rPr>
          <w:rFonts w:hint="eastAsia" w:ascii="Times New Roman" w:hAnsi="Times New Roman"/>
          <w:lang w:eastAsia="zh-CN"/>
        </w:rPr>
        <w:t>重点支持</w:t>
      </w:r>
      <w:r>
        <w:rPr>
          <w:rFonts w:ascii="Times New Roman" w:hAnsi="Times New Roman"/>
        </w:rPr>
        <w:t>建设智慧景区，推动全区4A级及以上旅游景区信息化基础设施与</w:t>
      </w:r>
      <w:r>
        <w:rPr>
          <w:rFonts w:hint="eastAsia" w:ascii="Times New Roman" w:hAnsi="Times New Roman"/>
          <w:lang w:eastAsia="zh-CN"/>
        </w:rPr>
        <w:t>数字化场景应用</w:t>
      </w:r>
      <w:r>
        <w:rPr>
          <w:rFonts w:ascii="Times New Roman" w:hAnsi="Times New Roma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黑体" w:hAnsi="黑体" w:eastAsia="黑体" w:cs="黑体"/>
          <w:b w:val="0"/>
          <w:bCs/>
          <w:szCs w:val="32"/>
          <w:lang w:val="en-US" w:eastAsia="zh-CN"/>
        </w:rPr>
        <w:t>二、数字经济重点领域创新发展项目支持方向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24"/>
          <w:lang w:val="en-US" w:eastAsia="zh-CN" w:bidi="ar-SA"/>
        </w:rPr>
        <w:t>绿色数据中心。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支持全国一体化算力网络国家枢纽节点建设，对集群内机架数不低于1000架的数据中心，按PUE≤1.15/WUE≤1.1，可再生能源利用率不低于65%的要求，建设国家数据中心绿色先进示范。开展自主可控先进示范工程。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24"/>
          <w:lang w:val="en-US" w:eastAsia="zh-CN" w:bidi="ar-SA"/>
        </w:rPr>
        <w:t>数据资源应用。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开展数据加工新业态培育。支持企业依托本地数据资源优势，开展服务北京、杭州、成都、重庆等发达地区的数据清洗、数据标注等数据加工业务。开展“数据靶场”新业态探索。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24"/>
          <w:lang w:val="en-US" w:eastAsia="zh-CN" w:bidi="ar-SA"/>
        </w:rPr>
        <w:t>数字经济新载体。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支持数字经济领域区内、区外“飞地”合作模式、“虚拟产业园区”的探索，加快推动国家“东数西算”工程，支持数字经济示范区、数字经济产业园、鲲鹏产业园等各类数字经济新载体建设。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24"/>
          <w:lang w:val="en-US" w:eastAsia="zh-CN" w:bidi="ar-SA"/>
        </w:rPr>
        <w:t>智慧物流快递。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支持大型智慧物流企业，加强线上线下全产业链物流资源的整合，建设物流公共服务平台。支持快递企业开展覆盖农村最后一公里的智慧快递应用，完善配送体系，推进快递全过程信息化。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24"/>
          <w:lang w:val="en-US" w:eastAsia="zh-CN" w:bidi="ar-SA"/>
        </w:rPr>
        <w:t>智慧交通出行。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支持车路协同、智能网联汽车等智慧场景应用。支持智慧出行平台建设和示范应用。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24"/>
          <w:lang w:val="en-US" w:eastAsia="zh-CN" w:bidi="ar-SA"/>
        </w:rPr>
        <w:t>智慧能源。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支持能源生产实时监测、精准调度、故障判断、预判性维护，覆盖能源生产、储存、输配和消耗各环节的数字化能源管理中心，集团、分厂、车间、重要耗能设备四级数字化能源计量体系。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right="0" w:rightChars="0"/>
        <w:jc w:val="both"/>
        <w:textAlignment w:val="auto"/>
        <w:outlineLvl w:val="9"/>
        <w:rPr>
          <w:rFonts w:hint="eastAsia" w:ascii="Times New Roman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320" w:rightChars="100" w:firstLine="1120" w:firstLine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320" w:rightChars="100" w:firstLine="1120" w:firstLine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7108C"/>
    <w:rsid w:val="6FD710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9"/>
    <w:next w:val="1"/>
    <w:unhideWhenUsed/>
    <w:qFormat/>
    <w:uiPriority w:val="0"/>
    <w:pPr>
      <w:keepNext/>
      <w:keepLines/>
      <w:widowControl w:val="0"/>
      <w:spacing w:before="240" w:beforeAutospacing="0" w:after="64" w:afterAutospacing="0" w:line="317" w:lineRule="auto"/>
      <w:jc w:val="both"/>
      <w:outlineLvl w:val="8"/>
    </w:pPr>
    <w:rPr>
      <w:rFonts w:ascii="Arial" w:hAnsi="Arial" w:eastAsia="黑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line="660" w:lineRule="exact"/>
      <w:jc w:val="center"/>
    </w:pPr>
    <w:rPr>
      <w:rFonts w:eastAsia="黑体"/>
      <w:b/>
      <w:bCs/>
      <w:kern w:val="2"/>
      <w:sz w:val="4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</w:pPr>
    <w:rPr>
      <w:rFonts w:hint="eastAsia" w:ascii="仿宋_GB2312" w:hAnsi="Calibri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2021-09-22T01:45:00Z</dcterms:created>
  <dc:creator>沈妍红</dc:creator>
  <cp:lastModifiedBy>沈妍红</cp:lastModifiedBy>
  <dcterms:modified xsi:type="dcterms:W3CDTF">2021-09-22T01:45:55Z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