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07" w:tblpY="594"/>
        <w:tblOverlap w:val="never"/>
        <w:tblW w:w="95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7"/>
        <w:gridCol w:w="1249"/>
        <w:gridCol w:w="1771"/>
        <w:gridCol w:w="4169"/>
        <w:gridCol w:w="1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959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i w:val="0"/>
                <w:color w:val="auto"/>
                <w:kern w:val="0"/>
                <w:sz w:val="36"/>
                <w:szCs w:val="36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auto"/>
                <w:kern w:val="0"/>
                <w:sz w:val="36"/>
                <w:szCs w:val="36"/>
                <w:lang w:val="en-US" w:eastAsia="zh-CN" w:bidi="ar"/>
              </w:rPr>
              <w:t>农村人居环境整治重点村建设项目自治区预算内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auto"/>
                <w:kern w:val="0"/>
                <w:sz w:val="36"/>
                <w:szCs w:val="36"/>
                <w:lang w:val="en-US" w:eastAsia="zh-CN" w:bidi="ar"/>
              </w:rPr>
              <w:t xml:space="preserve">统筹投资计划绩效目标表  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36"/>
                <w:szCs w:val="36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_GBK" w:cs="Times New Roman"/>
                <w:i w:val="0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olor w:val="auto"/>
                <w:kern w:val="0"/>
                <w:sz w:val="28"/>
                <w:szCs w:val="28"/>
                <w:lang w:val="en-US" w:eastAsia="zh-CN" w:bidi="ar"/>
              </w:rPr>
              <w:t>（2020年度）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exact"/>
        </w:trPr>
        <w:tc>
          <w:tcPr>
            <w:tcW w:w="4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专项名称</w:t>
            </w:r>
          </w:p>
        </w:tc>
        <w:tc>
          <w:tcPr>
            <w:tcW w:w="5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农村人居环境整治重点村建设项目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自治区预算内统筹投资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exact"/>
        </w:trPr>
        <w:tc>
          <w:tcPr>
            <w:tcW w:w="4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下达地方或单位</w:t>
            </w:r>
          </w:p>
        </w:tc>
        <w:tc>
          <w:tcPr>
            <w:tcW w:w="5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兴庆区、灵武市、贺兰县、惠农区、青铜峡市、原州区、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lang w:val="en-US" w:eastAsia="zh-CN" w:bidi="ar"/>
              </w:rPr>
              <w:t>西吉县、泾源县、中宁县、海原县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exact"/>
        </w:trPr>
        <w:tc>
          <w:tcPr>
            <w:tcW w:w="41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本次下达中央预算内投资（万元）</w:t>
            </w:r>
          </w:p>
        </w:tc>
        <w:tc>
          <w:tcPr>
            <w:tcW w:w="5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lang w:val="en-US" w:eastAsia="zh-CN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总体目标</w:t>
            </w:r>
          </w:p>
        </w:tc>
        <w:tc>
          <w:tcPr>
            <w:tcW w:w="849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落实《宁夏农村人居环境整治三年行动方案》，加快补齐农村人居环境基础设施建设短板，重点开展垃圾分类、收集、转运和处理基础设施，农村生活污水处理和河塘沟渠清淤疏浚，建立粪污收集处理体系以及村内道路建设等。同时，年度投资计划执行良好，项目建设质量和效益得到较好保障。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84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849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exact"/>
        </w:trPr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绩效指标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一级指标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二级指标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三级指标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exac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实施效果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指标</w:t>
            </w: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产出指标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支持项目县个数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exac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年度建设任务完成率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exac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效益指标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运行管护机制基本建立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exac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已经完成县域村庄布局安排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exac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基本实现年度整治目标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" w:hRule="exac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满意度指标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受益群众满意度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≥90%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 w:hRule="exac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过程管理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指标</w:t>
            </w: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  <w:lang w:eastAsia="zh-CN"/>
              </w:rPr>
              <w:t>计划管理指标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“两个责任”按项目落实到位率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exac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资金管理指标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自治区预算内统筹投资支付率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≥60%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exac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总投资完成率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≥80%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exac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项目管理指标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项目开工率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exac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超规模、超标准、超概算比例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≤10%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exact"/>
        </w:trPr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监督检查指标</w:t>
            </w:r>
          </w:p>
        </w:tc>
        <w:tc>
          <w:tcPr>
            <w:tcW w:w="4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审计、督查、巡视等指出问题比例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C5ED9"/>
    <w:rsid w:val="381C5E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 w:val="0"/>
      <w:spacing w:before="100" w:beforeLines="100" w:line="560" w:lineRule="exact"/>
      <w:ind w:left="-160" w:leftChars="-50" w:firstLine="964" w:firstLineChars="200"/>
      <w:outlineLvl w:val="1"/>
    </w:pPr>
    <w:rPr>
      <w:rFonts w:ascii="黑体" w:hAnsi="黑体" w:eastAsia="黑体" w:cs="Times New Roman"/>
      <w:bCs/>
      <w:color w:val="000000"/>
      <w:kern w:val="0"/>
      <w:sz w:val="30"/>
      <w:szCs w:val="30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2020-05-18T08:07:00Z</dcterms:created>
  <dc:creator>沈妍红</dc:creator>
  <cp:lastModifiedBy>沈妍红</cp:lastModifiedBy>
  <dcterms:modified xsi:type="dcterms:W3CDTF">2020-05-18T08:08:43Z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