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94"/>
        <w:gridCol w:w="3569"/>
        <w:gridCol w:w="1697"/>
        <w:gridCol w:w="2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 w:hRule="atLeast"/>
        </w:trPr>
        <w:tc>
          <w:tcPr>
            <w:tcW w:w="4463" w:type="dxa"/>
            <w:gridSpan w:val="2"/>
            <w:shd w:val="clear"/>
            <w:vAlign w:val="center"/>
          </w:tcPr>
          <w:p>
            <w:pPr>
              <w:pStyle w:val="2"/>
              <w:keepNext w:val="0"/>
              <w:keepLines w:val="0"/>
              <w:widowControl/>
              <w:suppressLineNumbers w:val="0"/>
              <w:spacing w:before="0" w:beforeAutospacing="1" w:after="0" w:afterAutospacing="1"/>
              <w:ind w:left="0" w:right="0"/>
              <w:rPr>
                <w:rFonts w:ascii="黑体" w:hAnsi="宋体" w:eastAsia="黑体" w:cs="黑体"/>
                <w:sz w:val="32"/>
                <w:szCs w:val="32"/>
              </w:rPr>
            </w:pPr>
            <w:r>
              <w:rPr>
                <w:rFonts w:hint="eastAsia" w:ascii="黑体" w:hAnsi="宋体" w:eastAsia="黑体" w:cs="黑体"/>
                <w:i w:val="0"/>
                <w:caps w:val="0"/>
                <w:color w:val="000000"/>
                <w:spacing w:val="0"/>
                <w:sz w:val="32"/>
                <w:szCs w:val="32"/>
              </w:rPr>
              <w:t>附件1</w:t>
            </w:r>
          </w:p>
        </w:tc>
        <w:tc>
          <w:tcPr>
            <w:tcW w:w="1697" w:type="dxa"/>
            <w:shd w:val="clear"/>
            <w:vAlign w:val="center"/>
          </w:tcPr>
          <w:p>
            <w:pPr>
              <w:rPr>
                <w:rFonts w:hint="eastAsia" w:ascii="微软雅黑" w:hAnsi="微软雅黑" w:eastAsia="微软雅黑" w:cs="微软雅黑"/>
                <w:i w:val="0"/>
                <w:caps w:val="0"/>
                <w:color w:val="000000"/>
                <w:spacing w:val="0"/>
                <w:sz w:val="27"/>
                <w:szCs w:val="27"/>
              </w:rPr>
            </w:pPr>
          </w:p>
        </w:tc>
        <w:tc>
          <w:tcPr>
            <w:tcW w:w="2175" w:type="dxa"/>
            <w:shd w:val="clear"/>
            <w:vAlign w:val="center"/>
          </w:tcPr>
          <w:p>
            <w:pP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8335" w:type="dxa"/>
            <w:gridSpan w:val="4"/>
            <w:shd w:val="clear"/>
            <w:vAlign w:val="center"/>
          </w:tcPr>
          <w:p>
            <w:pPr>
              <w:pStyle w:val="2"/>
              <w:keepNext w:val="0"/>
              <w:keepLines w:val="0"/>
              <w:widowControl/>
              <w:suppressLineNumbers w:val="0"/>
              <w:spacing w:before="0" w:beforeAutospacing="1" w:after="0" w:afterAutospacing="1"/>
              <w:ind w:left="0" w:right="0"/>
              <w:jc w:val="center"/>
              <w:rPr>
                <w:rFonts w:ascii="方正小标宋_GBK" w:hAnsi="方正小标宋_GBK" w:eastAsia="方正小标宋_GBK" w:cs="方正小标宋_GBK"/>
                <w:sz w:val="36"/>
                <w:szCs w:val="36"/>
              </w:rPr>
            </w:pPr>
            <w:bookmarkStart w:id="0" w:name="_GoBack"/>
            <w:r>
              <w:rPr>
                <w:rFonts w:hint="eastAsia" w:ascii="方正小标宋_GBK" w:hAnsi="方正小标宋_GBK" w:eastAsia="方正小标宋_GBK" w:cs="方正小标宋_GBK"/>
                <w:i w:val="0"/>
                <w:caps w:val="0"/>
                <w:color w:val="000000"/>
                <w:spacing w:val="0"/>
                <w:sz w:val="36"/>
                <w:szCs w:val="36"/>
              </w:rPr>
              <w:t>自治区发展改革委废止的行政规范性文件目录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60" w:hRule="atLeast"/>
        </w:trPr>
        <w:tc>
          <w:tcPr>
            <w:tcW w:w="894"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0"/>
                <w:szCs w:val="20"/>
              </w:rPr>
            </w:pPr>
            <w:r>
              <w:rPr>
                <w:rFonts w:hint="eastAsia" w:ascii="宋体" w:hAnsi="宋体" w:eastAsia="宋体" w:cs="宋体"/>
                <w:b/>
                <w:i w:val="0"/>
                <w:caps w:val="0"/>
                <w:color w:val="000000"/>
                <w:spacing w:val="0"/>
                <w:sz w:val="20"/>
                <w:szCs w:val="20"/>
              </w:rPr>
              <w:t>序号</w:t>
            </w:r>
          </w:p>
        </w:tc>
        <w:tc>
          <w:tcPr>
            <w:tcW w:w="3569"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0"/>
                <w:szCs w:val="20"/>
              </w:rPr>
            </w:pPr>
            <w:r>
              <w:rPr>
                <w:rFonts w:hint="eastAsia" w:ascii="宋体" w:hAnsi="宋体" w:eastAsia="宋体" w:cs="宋体"/>
                <w:b/>
                <w:i w:val="0"/>
                <w:caps w:val="0"/>
                <w:color w:val="000000"/>
                <w:spacing w:val="0"/>
                <w:sz w:val="20"/>
                <w:szCs w:val="20"/>
              </w:rPr>
              <w:t>文件名</w:t>
            </w:r>
          </w:p>
        </w:tc>
        <w:tc>
          <w:tcPr>
            <w:tcW w:w="1697"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0"/>
                <w:szCs w:val="20"/>
              </w:rPr>
            </w:pPr>
            <w:r>
              <w:rPr>
                <w:rFonts w:hint="eastAsia" w:ascii="宋体" w:hAnsi="宋体" w:eastAsia="宋体" w:cs="宋体"/>
                <w:b/>
                <w:i w:val="0"/>
                <w:caps w:val="0"/>
                <w:color w:val="000000"/>
                <w:spacing w:val="0"/>
                <w:sz w:val="20"/>
                <w:szCs w:val="20"/>
              </w:rPr>
              <w:t>发文日期</w:t>
            </w:r>
          </w:p>
        </w:tc>
        <w:tc>
          <w:tcPr>
            <w:tcW w:w="2175"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0"/>
                <w:szCs w:val="20"/>
              </w:rPr>
            </w:pPr>
            <w:r>
              <w:rPr>
                <w:rFonts w:hint="eastAsia" w:ascii="宋体" w:hAnsi="宋体" w:eastAsia="宋体" w:cs="宋体"/>
                <w:b/>
                <w:i w:val="0"/>
                <w:caps w:val="0"/>
                <w:color w:val="000000"/>
                <w:spacing w:val="0"/>
                <w:sz w:val="20"/>
                <w:szCs w:val="20"/>
              </w:rPr>
              <w:t>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0" w:hRule="atLeast"/>
        </w:trPr>
        <w:tc>
          <w:tcPr>
            <w:tcW w:w="894"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sz w:val="20"/>
                <w:szCs w:val="20"/>
              </w:rPr>
              <w:t>1</w:t>
            </w:r>
          </w:p>
        </w:tc>
        <w:tc>
          <w:tcPr>
            <w:tcW w:w="3569"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rPr>
                <w:rFonts w:hint="eastAsia" w:ascii="宋体" w:hAnsi="宋体" w:eastAsia="宋体" w:cs="宋体"/>
                <w:sz w:val="20"/>
                <w:szCs w:val="20"/>
              </w:rPr>
            </w:pPr>
            <w:r>
              <w:rPr>
                <w:rFonts w:hint="eastAsia" w:ascii="宋体" w:hAnsi="宋体" w:eastAsia="宋体" w:cs="宋体"/>
                <w:i w:val="0"/>
                <w:caps w:val="0"/>
                <w:color w:val="000000"/>
                <w:spacing w:val="0"/>
                <w:sz w:val="20"/>
                <w:szCs w:val="20"/>
              </w:rPr>
              <w:t>《关于加强天然气利用项目管理工作的通知》</w:t>
            </w:r>
          </w:p>
        </w:tc>
        <w:tc>
          <w:tcPr>
            <w:tcW w:w="1697"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sz w:val="20"/>
                <w:szCs w:val="20"/>
              </w:rPr>
              <w:t>2007年2月9日</w:t>
            </w:r>
          </w:p>
        </w:tc>
        <w:tc>
          <w:tcPr>
            <w:tcW w:w="2175"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sz w:val="20"/>
                <w:szCs w:val="20"/>
              </w:rPr>
              <w:t>宁发改能源〔2007〕49号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0" w:hRule="atLeast"/>
        </w:trPr>
        <w:tc>
          <w:tcPr>
            <w:tcW w:w="894"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sz w:val="20"/>
                <w:szCs w:val="20"/>
              </w:rPr>
              <w:t>2</w:t>
            </w:r>
          </w:p>
        </w:tc>
        <w:tc>
          <w:tcPr>
            <w:tcW w:w="3569"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rPr>
                <w:rFonts w:hint="eastAsia" w:ascii="宋体" w:hAnsi="宋体" w:eastAsia="宋体" w:cs="宋体"/>
                <w:sz w:val="20"/>
                <w:szCs w:val="20"/>
              </w:rPr>
            </w:pPr>
            <w:r>
              <w:rPr>
                <w:rFonts w:hint="eastAsia" w:ascii="宋体" w:hAnsi="宋体" w:eastAsia="宋体" w:cs="宋体"/>
                <w:i w:val="0"/>
                <w:caps w:val="0"/>
                <w:color w:val="000000"/>
                <w:spacing w:val="0"/>
                <w:sz w:val="20"/>
                <w:szCs w:val="20"/>
              </w:rPr>
              <w:t>《关于开展企业债券本息兑付风险排查和进一步加强存续期信息披露有关工作的通知》</w:t>
            </w:r>
          </w:p>
        </w:tc>
        <w:tc>
          <w:tcPr>
            <w:tcW w:w="1697"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sz w:val="20"/>
                <w:szCs w:val="20"/>
              </w:rPr>
              <w:t>2016年4月6日</w:t>
            </w:r>
          </w:p>
        </w:tc>
        <w:tc>
          <w:tcPr>
            <w:tcW w:w="2175"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sz w:val="20"/>
                <w:szCs w:val="20"/>
              </w:rPr>
              <w:t>宁发改经财〔2016〕146号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0" w:hRule="atLeast"/>
        </w:trPr>
        <w:tc>
          <w:tcPr>
            <w:tcW w:w="894"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sz w:val="20"/>
                <w:szCs w:val="20"/>
              </w:rPr>
              <w:t>3</w:t>
            </w:r>
          </w:p>
        </w:tc>
        <w:tc>
          <w:tcPr>
            <w:tcW w:w="3569"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rPr>
                <w:rFonts w:hint="eastAsia" w:ascii="宋体" w:hAnsi="宋体" w:eastAsia="宋体" w:cs="宋体"/>
                <w:sz w:val="20"/>
                <w:szCs w:val="20"/>
              </w:rPr>
            </w:pPr>
            <w:r>
              <w:rPr>
                <w:rFonts w:hint="eastAsia" w:ascii="宋体" w:hAnsi="宋体" w:eastAsia="宋体" w:cs="宋体"/>
                <w:i w:val="0"/>
                <w:caps w:val="0"/>
                <w:color w:val="000000"/>
                <w:spacing w:val="0"/>
                <w:sz w:val="20"/>
                <w:szCs w:val="20"/>
              </w:rPr>
              <w:t>《关于印发〈宁夏发展改革委政府投资项目管理购买服务办法（试行）〉的通知》</w:t>
            </w:r>
          </w:p>
        </w:tc>
        <w:tc>
          <w:tcPr>
            <w:tcW w:w="1697"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sz w:val="20"/>
                <w:szCs w:val="20"/>
              </w:rPr>
              <w:t>2018年1月11日</w:t>
            </w:r>
          </w:p>
        </w:tc>
        <w:tc>
          <w:tcPr>
            <w:tcW w:w="2175"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sz w:val="20"/>
                <w:szCs w:val="20"/>
              </w:rPr>
              <w:t>宁发改规发〔2018〕1号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0" w:hRule="atLeast"/>
        </w:trPr>
        <w:tc>
          <w:tcPr>
            <w:tcW w:w="894"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sz w:val="20"/>
                <w:szCs w:val="20"/>
              </w:rPr>
              <w:t>4</w:t>
            </w:r>
          </w:p>
        </w:tc>
        <w:tc>
          <w:tcPr>
            <w:tcW w:w="3569"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rPr>
                <w:rFonts w:hint="eastAsia" w:ascii="宋体" w:hAnsi="宋体" w:eastAsia="宋体" w:cs="宋体"/>
                <w:sz w:val="20"/>
                <w:szCs w:val="20"/>
              </w:rPr>
            </w:pPr>
            <w:r>
              <w:rPr>
                <w:rFonts w:hint="eastAsia" w:ascii="宋体" w:hAnsi="宋体" w:eastAsia="宋体" w:cs="宋体"/>
                <w:i w:val="0"/>
                <w:caps w:val="0"/>
                <w:color w:val="000000"/>
                <w:spacing w:val="0"/>
                <w:sz w:val="20"/>
                <w:szCs w:val="20"/>
              </w:rPr>
              <w:t>《关于印发〈宁夏回族自治区西部大开发重点项目前期工作专项补助资金管理实施办法（暂行）〉的通知》</w:t>
            </w:r>
          </w:p>
        </w:tc>
        <w:tc>
          <w:tcPr>
            <w:tcW w:w="1697"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sz w:val="20"/>
                <w:szCs w:val="20"/>
              </w:rPr>
              <w:t>2018年3月2日</w:t>
            </w:r>
          </w:p>
        </w:tc>
        <w:tc>
          <w:tcPr>
            <w:tcW w:w="2175" w:type="dxa"/>
            <w:tcBorders>
              <w:top w:val="single" w:color="000000" w:sz="2" w:space="0"/>
              <w:left w:val="single" w:color="000000" w:sz="2" w:space="0"/>
              <w:bottom w:val="single" w:color="000000" w:sz="2" w:space="0"/>
              <w:right w:val="single" w:color="000000" w:sz="2" w:space="0"/>
            </w:tcBorders>
            <w:shd w:val="clear"/>
            <w:vAlign w:val="center"/>
          </w:tcPr>
          <w:p>
            <w:pPr>
              <w:pStyle w:val="2"/>
              <w:keepNext w:val="0"/>
              <w:keepLines w:val="0"/>
              <w:widowControl/>
              <w:suppressLineNumbers w:val="0"/>
              <w:spacing w:before="0" w:beforeAutospacing="1" w:after="0" w:afterAutospacing="1"/>
              <w:ind w:left="0" w:right="0"/>
              <w:jc w:val="center"/>
              <w:rPr>
                <w:rFonts w:hint="eastAsia" w:ascii="宋体" w:hAnsi="宋体" w:eastAsia="宋体" w:cs="宋体"/>
                <w:sz w:val="20"/>
                <w:szCs w:val="20"/>
              </w:rPr>
            </w:pPr>
            <w:r>
              <w:rPr>
                <w:rFonts w:hint="eastAsia" w:ascii="宋体" w:hAnsi="宋体" w:eastAsia="宋体" w:cs="宋体"/>
                <w:i w:val="0"/>
                <w:caps w:val="0"/>
                <w:color w:val="000000"/>
                <w:spacing w:val="0"/>
                <w:sz w:val="20"/>
                <w:szCs w:val="20"/>
              </w:rPr>
              <w:t>宁发改规发〔2018〕2号</w:t>
            </w:r>
          </w:p>
        </w:tc>
      </w:tr>
    </w:tbl>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337AE2"/>
    <w:rsid w:val="6A337AE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2021-01-04T02:03:00Z</dcterms:created>
  <dc:creator>沈妍红</dc:creator>
  <cp:lastModifiedBy>沈妍红</cp:lastModifiedBy>
  <dcterms:modified xsi:type="dcterms:W3CDTF">2021-01-04T02:03:47Z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