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trike w:val="0"/>
          <w:dstrike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trike w:val="0"/>
          <w:dstrike w:val="0"/>
          <w:sz w:val="36"/>
          <w:szCs w:val="36"/>
          <w:lang w:val="en-US" w:eastAsia="zh-CN"/>
        </w:rPr>
        <w:t>生产煤矿冲击地压情况排查表</w:t>
      </w:r>
    </w:p>
    <w:bookmarkEnd w:id="0"/>
    <w:p>
      <w:pPr>
        <w:jc w:val="both"/>
        <w:rPr>
          <w:rFonts w:hint="eastAsia" w:ascii="Times New Roman" w:hAnsi="Times New Roman" w:eastAsia="仿宋_GB2312" w:cs="Times New Roman"/>
          <w:strike w:val="0"/>
          <w:dstrike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0"/>
          <w:szCs w:val="30"/>
          <w:lang w:val="en-US" w:eastAsia="zh-CN"/>
        </w:rPr>
        <w:t>填报单位：（盖章）</w:t>
      </w:r>
    </w:p>
    <w:tbl>
      <w:tblPr>
        <w:tblStyle w:val="6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92"/>
        <w:gridCol w:w="1386"/>
        <w:gridCol w:w="1398"/>
        <w:gridCol w:w="887"/>
        <w:gridCol w:w="3227"/>
        <w:gridCol w:w="2235"/>
        <w:gridCol w:w="167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煤矿名称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生产能力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（万吨/年）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最大采深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是否停产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冲击地压情况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煤矿井巷或工作面周围煤岩体是否发生过强烈震动、瞬间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鼓、煤岩弹射等动力现象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是否开展冲击倾向性鉴定和冲击危险性评价及鉴定、评价结果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冲击倾向性鉴定和冲击危险性评价机构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5350"/>
    <w:rsid w:val="0C5253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2019-05-28T08:16:00Z</dcterms:created>
  <dc:creator>沈妍红</dc:creator>
  <cp:lastModifiedBy>沈妍红</cp:lastModifiedBy>
  <dcterms:modified xsi:type="dcterms:W3CDTF">2019-05-28T08:16:54Z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