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附表1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老工业城市基本情况统计表</w:t>
      </w:r>
    </w:p>
    <w:bookmarkEnd w:id="0"/>
    <w:tbl>
      <w:tblPr>
        <w:tblStyle w:val="4"/>
        <w:tblW w:w="13701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5653"/>
        <w:gridCol w:w="1044"/>
        <w:gridCol w:w="1044"/>
        <w:gridCol w:w="1044"/>
        <w:gridCol w:w="1044"/>
        <w:gridCol w:w="1044"/>
        <w:gridCol w:w="1044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指标类别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指标名称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2012年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2013年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2014年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2015年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2016年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2017年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基本情况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区域面积（平方公里）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常住人口（万人）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经济发展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地区生产总值（亿元）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工业总产值（亿元）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高新技术产业增加值（亿元）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高新技术产业占地区生产总值比重（%）*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服务业增加值（亿元）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服务业占地区生产总值比重（%）*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地方公共财政预算收入（亿元）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地方公共财政预算支出（亿元）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社会</w:t>
            </w:r>
            <w:r>
              <w:rPr>
                <w:rFonts w:hint="eastAsia" w:eastAsia="仿宋_GB2312"/>
                <w:b/>
                <w:kern w:val="0"/>
                <w:sz w:val="24"/>
              </w:rPr>
              <w:t>民生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城镇居民人均可支配收入（元）*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城镇登记失业率（%）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城镇当年新增就业人数（人）*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城镇参加基本养老保险人数（人）*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城镇保障性安居工程当年新建（万套）*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城市发展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工业遗产（址）保护或再利用数量（处）</w:t>
            </w:r>
          </w:p>
        </w:tc>
        <w:tc>
          <w:tcPr>
            <w:tcW w:w="73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城市路网密度</w:t>
            </w:r>
            <w:r>
              <w:rPr>
                <w:rFonts w:eastAsia="方正仿宋_GBK"/>
                <w:kern w:val="0"/>
                <w:sz w:val="24"/>
              </w:rPr>
              <w:t>（公里/平方公里）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人均公共绿地面积（平方米/人）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城镇污水集中处理率（%）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城镇生活垃圾无害化处理率（%）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资源环境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单位地区生产总值能耗（吨标煤/万元）*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单位工业增加值用水量（吨/万元）*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二氧化硫排放（吨）*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化学需氧量排放（吨）*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空气质量优良天数（天）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科技创新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spacing w:val="-7"/>
                <w:kern w:val="0"/>
                <w:sz w:val="24"/>
              </w:rPr>
              <w:t>研究与试验发展经费支出占地区生产总值比重（%）*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每万人口发明专利拥有量（件）*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大学、科研院所和机构数量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创新创业平台、重点实验室、工程技术研究中心、科技孵化器等数量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国家高新技术企业、科技型企业、瞪羚、牛羚企业数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科技成果转化情况及本地转化情况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left="840" w:leftChars="0" w:right="0" w:rightChars="0" w:hanging="840" w:hangingChars="350"/>
        <w:jc w:val="both"/>
        <w:textAlignment w:val="auto"/>
        <w:outlineLvl w:val="9"/>
        <w:rPr>
          <w:rFonts w:eastAsia="方正仿宋_GBK"/>
          <w:sz w:val="24"/>
        </w:rPr>
      </w:pPr>
      <w:r>
        <w:rPr>
          <w:rFonts w:eastAsia="方正仿宋_GBK"/>
          <w:sz w:val="24"/>
        </w:rPr>
        <w:t>注：1. 统计对象是老工业城市建成区，省会城市和直辖市的老工业</w:t>
      </w:r>
      <w:r>
        <w:rPr>
          <w:rFonts w:hint="eastAsia" w:eastAsia="方正仿宋_GBK"/>
          <w:sz w:val="24"/>
        </w:rPr>
        <w:t>区</w:t>
      </w:r>
      <w:r>
        <w:rPr>
          <w:rFonts w:eastAsia="方正仿宋_GBK"/>
          <w:sz w:val="24"/>
        </w:rPr>
        <w:t>所在市辖区。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840" w:leftChars="0" w:right="0" w:rightChars="0" w:hanging="840" w:hangingChars="350"/>
        <w:jc w:val="both"/>
        <w:textAlignment w:val="auto"/>
        <w:outlineLvl w:val="9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    2. *为《调整改造规划》中明确提出的任务指标。 </w:t>
      </w:r>
    </w:p>
    <w:p/>
    <w:sectPr>
      <w:footerReference r:id="rId3" w:type="default"/>
      <w:pgSz w:w="16838" w:h="11906" w:orient="landscape"/>
      <w:pgMar w:top="1633" w:right="1440" w:bottom="163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036E0"/>
    <w:rsid w:val="7CC036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2019-06-11T02:24:00Z</dcterms:created>
  <dc:creator>沈妍红</dc:creator>
  <cp:lastModifiedBy>沈妍红</cp:lastModifiedBy>
  <dcterms:modified xsi:type="dcterms:W3CDTF">2019-06-11T02:27:26Z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