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宁夏回族自治区数据条例（草案）</w:t>
      </w:r>
    </w:p>
    <w:p>
      <w:pPr>
        <w:ind w:left="0" w:leftChars="0" w:right="0" w:rightChars="0" w:firstLine="0" w:firstLineChars="0"/>
        <w:jc w:val="cente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楷体_GBK" w:hAnsi="方正楷体_GBK" w:eastAsia="方正楷体_GBK" w:cs="方正楷体_GBK"/>
          <w:color w:val="000000" w:themeColor="text1"/>
          <w:sz w:val="30"/>
          <w:szCs w:val="30"/>
          <w:lang w:val="en-US" w:eastAsia="zh-CN"/>
          <w14:textFill>
            <w14:solidFill>
              <w14:schemeClr w14:val="tx1"/>
            </w14:solidFill>
          </w14:textFill>
        </w:rPr>
        <w:t>（征求意</w:t>
      </w:r>
      <w:bookmarkStart w:id="0" w:name="_GoBack"/>
      <w:bookmarkEnd w:id="0"/>
      <w:r>
        <w:rPr>
          <w:rFonts w:hint="eastAsia" w:ascii="方正楷体_GBK" w:hAnsi="方正楷体_GBK" w:eastAsia="方正楷体_GBK" w:cs="方正楷体_GBK"/>
          <w:color w:val="000000" w:themeColor="text1"/>
          <w:sz w:val="30"/>
          <w:szCs w:val="30"/>
          <w:lang w:val="en-US" w:eastAsia="zh-CN"/>
          <w14:textFill>
            <w14:solidFill>
              <w14:schemeClr w14:val="tx1"/>
            </w14:solidFill>
          </w14:textFill>
        </w:rPr>
        <w:t>见稿）</w:t>
      </w:r>
    </w:p>
    <w:p>
      <w:pPr>
        <w:ind w:left="0" w:leftChars="0" w:right="0" w:rightChars="0" w:firstLine="0" w:firstLineChars="0"/>
        <w:jc w:val="center"/>
        <w:rPr>
          <w:rFonts w:hint="eastAsia" w:ascii="黑体" w:hAnsi="黑体" w:eastAsia="黑体" w:cs="黑体"/>
          <w:color w:val="000000" w:themeColor="text1"/>
          <w:sz w:val="32"/>
          <w:szCs w:val="32"/>
          <w:lang w:val="en-US" w:eastAsia="zh-CN"/>
          <w14:textFill>
            <w14:solidFill>
              <w14:schemeClr w14:val="tx1"/>
            </w14:solidFill>
          </w14:textFill>
        </w:rPr>
      </w:pPr>
    </w:p>
    <w:p>
      <w:pPr>
        <w:ind w:left="0" w:leftChars="0" w:right="0" w:rightChars="0" w:firstLine="0" w:firstLineChars="0"/>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ind w:left="0" w:leftChars="0" w:right="0" w:rightChars="0" w:firstLine="630" w:firstLineChars="200"/>
        <w:jc w:val="left"/>
        <w:textAlignment w:val="auto"/>
        <w:rPr>
          <w:rFonts w:ascii="仿宋" w:hAnsi="仿宋" w:eastAsia="仿宋" w:cs="仿宋"/>
          <w:color w:val="000000" w:themeColor="text1"/>
          <w:sz w:val="31"/>
          <w:szCs w:val="31"/>
          <w14:textFill>
            <w14:solidFill>
              <w14:schemeClr w14:val="tx1"/>
            </w14:solidFill>
          </w14:textFill>
        </w:rPr>
      </w:pPr>
      <w:r>
        <w:rPr>
          <w:rFonts w:hint="eastAsia" w:ascii="楷体" w:hAnsi="楷体" w:eastAsia="楷体" w:cs="楷体"/>
          <w:b/>
          <w:bCs/>
          <w:color w:val="000000" w:themeColor="text1"/>
          <w:spacing w:val="2"/>
          <w:sz w:val="31"/>
          <w:szCs w:val="31"/>
          <w14:textFill>
            <w14:solidFill>
              <w14:schemeClr w14:val="tx1"/>
            </w14:solidFill>
          </w14:textFill>
        </w:rPr>
        <w:t>第一条</w:t>
      </w:r>
      <w:r>
        <w:rPr>
          <w:rFonts w:hint="eastAsia" w:ascii="仿宋" w:hAnsi="仿宋" w:eastAsia="仿宋" w:cs="仿宋"/>
          <w:b/>
          <w:bCs/>
          <w:color w:val="000000" w:themeColor="text1"/>
          <w:spacing w:val="2"/>
          <w:sz w:val="31"/>
          <w:szCs w:val="31"/>
          <w14:textFill>
            <w14:solidFill>
              <w14:schemeClr w14:val="tx1"/>
            </w14:solidFill>
          </w14:textFill>
        </w:rPr>
        <w:t xml:space="preserve"> </w:t>
      </w:r>
      <w:r>
        <w:rPr>
          <w:rFonts w:ascii="仿宋" w:hAnsi="仿宋" w:eastAsia="仿宋" w:cs="仿宋"/>
          <w:color w:val="000000" w:themeColor="text1"/>
          <w:spacing w:val="2"/>
          <w:sz w:val="31"/>
          <w:szCs w:val="31"/>
          <w14:textFill>
            <w14:solidFill>
              <w14:schemeClr w14:val="tx1"/>
            </w14:solidFill>
          </w14:textFill>
        </w:rPr>
        <w:t>为了</w:t>
      </w:r>
      <w:r>
        <w:rPr>
          <w:rFonts w:hint="eastAsia" w:ascii="仿宋" w:hAnsi="仿宋" w:eastAsia="仿宋" w:cs="仿宋"/>
          <w:color w:val="000000" w:themeColor="text1"/>
          <w:spacing w:val="2"/>
          <w:sz w:val="31"/>
          <w:szCs w:val="31"/>
          <w:lang w:val="en-US" w:eastAsia="zh-CN"/>
          <w14:textFill>
            <w14:solidFill>
              <w14:schemeClr w14:val="tx1"/>
            </w14:solidFill>
          </w14:textFill>
        </w:rPr>
        <w:t>加快推动</w:t>
      </w:r>
      <w:r>
        <w:rPr>
          <w:rFonts w:ascii="仿宋" w:hAnsi="仿宋" w:eastAsia="仿宋" w:cs="仿宋"/>
          <w:color w:val="000000" w:themeColor="text1"/>
          <w:spacing w:val="2"/>
          <w:sz w:val="31"/>
          <w:szCs w:val="31"/>
          <w14:textFill>
            <w14:solidFill>
              <w14:schemeClr w14:val="tx1"/>
            </w14:solidFill>
          </w14:textFill>
        </w:rPr>
        <w:t>数据资源</w:t>
      </w:r>
      <w:r>
        <w:rPr>
          <w:rFonts w:hint="eastAsia" w:ascii="仿宋" w:hAnsi="仿宋" w:eastAsia="仿宋" w:cs="仿宋"/>
          <w:color w:val="000000" w:themeColor="text1"/>
          <w:spacing w:val="2"/>
          <w:sz w:val="31"/>
          <w:szCs w:val="31"/>
          <w:lang w:val="en-US" w:eastAsia="zh-CN"/>
          <w14:textFill>
            <w14:solidFill>
              <w14:schemeClr w14:val="tx1"/>
            </w14:solidFill>
          </w14:textFill>
        </w:rPr>
        <w:t>化、资产化、价值化</w:t>
      </w:r>
      <w:r>
        <w:rPr>
          <w:rFonts w:ascii="仿宋" w:hAnsi="仿宋" w:eastAsia="仿宋" w:cs="仿宋"/>
          <w:color w:val="000000" w:themeColor="text1"/>
          <w:spacing w:val="2"/>
          <w:sz w:val="31"/>
          <w:szCs w:val="31"/>
          <w14:textFill>
            <w14:solidFill>
              <w14:schemeClr w14:val="tx1"/>
            </w14:solidFill>
          </w14:textFill>
        </w:rPr>
        <w:t>，</w:t>
      </w:r>
      <w:r>
        <w:rPr>
          <w:rFonts w:hint="eastAsia" w:ascii="仿宋" w:hAnsi="仿宋" w:eastAsia="仿宋" w:cs="仿宋"/>
          <w:color w:val="000000" w:themeColor="text1"/>
          <w:spacing w:val="2"/>
          <w:sz w:val="31"/>
          <w:szCs w:val="31"/>
          <w:lang w:val="en-US" w:eastAsia="zh-CN"/>
          <w14:textFill>
            <w14:solidFill>
              <w14:schemeClr w14:val="tx1"/>
            </w14:solidFill>
          </w14:textFill>
        </w:rPr>
        <w:t>促进数据要素高效流通利用</w:t>
      </w:r>
      <w:r>
        <w:rPr>
          <w:rFonts w:hint="eastAsia" w:ascii="仿宋" w:hAnsi="仿宋" w:eastAsia="仿宋" w:cs="仿宋"/>
          <w:color w:val="000000" w:themeColor="text1"/>
          <w:spacing w:val="2"/>
          <w:sz w:val="31"/>
          <w:szCs w:val="31"/>
          <w14:textFill>
            <w14:solidFill>
              <w14:schemeClr w14:val="tx1"/>
            </w14:solidFill>
          </w14:textFill>
        </w:rPr>
        <w:t>，</w:t>
      </w:r>
      <w:r>
        <w:rPr>
          <w:rFonts w:hint="eastAsia" w:ascii="仿宋" w:hAnsi="仿宋" w:eastAsia="仿宋" w:cs="仿宋"/>
          <w:color w:val="000000" w:themeColor="text1"/>
          <w:spacing w:val="2"/>
          <w:sz w:val="31"/>
          <w:szCs w:val="31"/>
          <w:lang w:val="en-US" w:eastAsia="zh-CN"/>
          <w14:textFill>
            <w14:solidFill>
              <w14:schemeClr w14:val="tx1"/>
            </w14:solidFill>
          </w14:textFill>
        </w:rPr>
        <w:t>培育壮大数据产业生态</w:t>
      </w:r>
      <w:r>
        <w:rPr>
          <w:rFonts w:ascii="仿宋" w:hAnsi="仿宋" w:eastAsia="仿宋" w:cs="仿宋"/>
          <w:color w:val="000000" w:themeColor="text1"/>
          <w:spacing w:val="4"/>
          <w:sz w:val="31"/>
          <w:szCs w:val="31"/>
          <w14:textFill>
            <w14:solidFill>
              <w14:schemeClr w14:val="tx1"/>
            </w14:solidFill>
          </w14:textFill>
        </w:rPr>
        <w:t>，</w:t>
      </w:r>
      <w:r>
        <w:rPr>
          <w:rFonts w:hint="eastAsia" w:ascii="仿宋" w:hAnsi="仿宋" w:eastAsia="仿宋" w:cs="仿宋"/>
          <w:color w:val="000000" w:themeColor="text1"/>
          <w:spacing w:val="4"/>
          <w:sz w:val="31"/>
          <w:szCs w:val="31"/>
          <w14:textFill>
            <w14:solidFill>
              <w14:schemeClr w14:val="tx1"/>
            </w14:solidFill>
          </w14:textFill>
        </w:rPr>
        <w:t>保障数据安全</w:t>
      </w:r>
      <w:r>
        <w:rPr>
          <w:rFonts w:ascii="仿宋" w:hAnsi="仿宋" w:eastAsia="仿宋" w:cs="仿宋"/>
          <w:color w:val="000000" w:themeColor="text1"/>
          <w:spacing w:val="4"/>
          <w:sz w:val="31"/>
          <w:szCs w:val="31"/>
          <w14:textFill>
            <w14:solidFill>
              <w14:schemeClr w14:val="tx1"/>
            </w14:solidFill>
          </w14:textFill>
        </w:rPr>
        <w:t>，</w:t>
      </w:r>
      <w:r>
        <w:rPr>
          <w:rFonts w:hint="eastAsia" w:ascii="仿宋" w:hAnsi="仿宋" w:eastAsia="仿宋" w:cs="仿宋"/>
          <w:color w:val="000000" w:themeColor="text1"/>
          <w:spacing w:val="4"/>
          <w:sz w:val="31"/>
          <w:szCs w:val="31"/>
          <w:lang w:val="en-US" w:eastAsia="zh-CN"/>
          <w14:textFill>
            <w14:solidFill>
              <w14:schemeClr w14:val="tx1"/>
            </w14:solidFill>
          </w14:textFill>
        </w:rPr>
        <w:t>推动数据赋能</w:t>
      </w:r>
      <w:r>
        <w:rPr>
          <w:rFonts w:hint="eastAsia" w:ascii="仿宋" w:hAnsi="仿宋" w:eastAsia="仿宋" w:cs="仿宋"/>
          <w:color w:val="000000" w:themeColor="text1"/>
          <w:spacing w:val="4"/>
          <w:sz w:val="31"/>
          <w:szCs w:val="31"/>
          <w14:textFill>
            <w14:solidFill>
              <w14:schemeClr w14:val="tx1"/>
            </w14:solidFill>
          </w14:textFill>
        </w:rPr>
        <w:t>高质量发展，</w:t>
      </w:r>
      <w:r>
        <w:rPr>
          <w:rFonts w:ascii="仿宋" w:hAnsi="仿宋" w:eastAsia="仿宋" w:cs="仿宋"/>
          <w:color w:val="000000" w:themeColor="text1"/>
          <w:spacing w:val="4"/>
          <w:sz w:val="31"/>
          <w:szCs w:val="31"/>
          <w14:textFill>
            <w14:solidFill>
              <w14:schemeClr w14:val="tx1"/>
            </w14:solidFill>
          </w14:textFill>
        </w:rPr>
        <w:t>根据《中华人民共和国数据安全法》</w:t>
      </w:r>
      <w:r>
        <w:rPr>
          <w:rFonts w:ascii="仿宋" w:hAnsi="仿宋" w:eastAsia="仿宋" w:cs="仿宋"/>
          <w:color w:val="000000" w:themeColor="text1"/>
          <w:spacing w:val="3"/>
          <w:sz w:val="31"/>
          <w:szCs w:val="31"/>
          <w14:textFill>
            <w14:solidFill>
              <w14:schemeClr w14:val="tx1"/>
            </w14:solidFill>
          </w14:textFill>
        </w:rPr>
        <w:t>《中华人民共和国个人信息保护法》等有关法律、行政法规，结合自治区</w:t>
      </w:r>
      <w:r>
        <w:rPr>
          <w:rFonts w:ascii="仿宋" w:hAnsi="仿宋" w:eastAsia="仿宋" w:cs="仿宋"/>
          <w:color w:val="000000" w:themeColor="text1"/>
          <w:sz w:val="31"/>
          <w:szCs w:val="31"/>
          <w14:textFill>
            <w14:solidFill>
              <w14:schemeClr w14:val="tx1"/>
            </w14:solidFill>
          </w14:textFill>
        </w:rPr>
        <w:t>实际，制定本条例。</w:t>
      </w:r>
    </w:p>
    <w:p>
      <w:pPr>
        <w:keepNext w:val="0"/>
        <w:keepLines w:val="0"/>
        <w:pageBreakBefore w:val="0"/>
        <w:widowControl w:val="0"/>
        <w:kinsoku/>
        <w:wordWrap/>
        <w:overflowPunct/>
        <w:topLinePunct w:val="0"/>
        <w:autoSpaceDE/>
        <w:autoSpaceDN/>
        <w:bidi w:val="0"/>
        <w:adjustRightInd/>
        <w:snapToGrid/>
        <w:ind w:left="0" w:leftChars="0" w:right="0" w:rightChars="0" w:firstLine="630" w:firstLineChars="200"/>
        <w:jc w:val="left"/>
        <w:textAlignment w:val="auto"/>
        <w:rPr>
          <w:rFonts w:ascii="仿宋" w:hAnsi="仿宋" w:eastAsia="仿宋" w:cs="仿宋"/>
          <w:color w:val="000000" w:themeColor="text1"/>
          <w:spacing w:val="-1"/>
          <w:sz w:val="31"/>
          <w:szCs w:val="31"/>
          <w14:textFill>
            <w14:solidFill>
              <w14:schemeClr w14:val="tx1"/>
            </w14:solidFill>
          </w14:textFill>
        </w:rPr>
      </w:pPr>
      <w:r>
        <w:rPr>
          <w:rFonts w:hint="eastAsia" w:ascii="楷体" w:hAnsi="楷体" w:eastAsia="楷体" w:cs="楷体"/>
          <w:b/>
          <w:bCs/>
          <w:color w:val="000000" w:themeColor="text1"/>
          <w:spacing w:val="2"/>
          <w:sz w:val="31"/>
          <w:szCs w:val="31"/>
          <w14:textFill>
            <w14:solidFill>
              <w14:schemeClr w14:val="tx1"/>
            </w14:solidFill>
          </w14:textFill>
        </w:rPr>
        <w:t xml:space="preserve">第二条 </w:t>
      </w:r>
      <w:r>
        <w:rPr>
          <w:rFonts w:ascii="仿宋" w:hAnsi="仿宋" w:eastAsia="仿宋" w:cs="仿宋"/>
          <w:color w:val="000000" w:themeColor="text1"/>
          <w:spacing w:val="3"/>
          <w:sz w:val="31"/>
          <w:szCs w:val="31"/>
          <w14:textFill>
            <w14:solidFill>
              <w14:schemeClr w14:val="tx1"/>
            </w14:solidFill>
          </w14:textFill>
        </w:rPr>
        <w:t>自治区行政区域内的</w:t>
      </w:r>
      <w:r>
        <w:rPr>
          <w:rFonts w:hint="eastAsia" w:ascii="仿宋" w:hAnsi="仿宋" w:eastAsia="仿宋" w:cs="仿宋"/>
          <w:color w:val="000000" w:themeColor="text1"/>
          <w:spacing w:val="3"/>
          <w:sz w:val="31"/>
          <w:szCs w:val="31"/>
          <w:lang w:val="en-US" w:eastAsia="zh-CN"/>
          <w14:textFill>
            <w14:solidFill>
              <w14:schemeClr w14:val="tx1"/>
            </w14:solidFill>
          </w14:textFill>
        </w:rPr>
        <w:t>数据资源管理和开发利用、数据交易、数据产业发展及其相关数据安全</w:t>
      </w:r>
      <w:r>
        <w:rPr>
          <w:rFonts w:ascii="仿宋" w:hAnsi="仿宋" w:eastAsia="仿宋" w:cs="仿宋"/>
          <w:color w:val="000000" w:themeColor="text1"/>
          <w:spacing w:val="-1"/>
          <w:sz w:val="31"/>
          <w:szCs w:val="31"/>
          <w14:textFill>
            <w14:solidFill>
              <w14:schemeClr w14:val="tx1"/>
            </w14:solidFill>
          </w14:textFill>
        </w:rPr>
        <w:t>等活动，适用本条例。</w:t>
      </w:r>
    </w:p>
    <w:p>
      <w:pPr>
        <w:keepNext w:val="0"/>
        <w:keepLines w:val="0"/>
        <w:pageBreakBefore w:val="0"/>
        <w:widowControl w:val="0"/>
        <w:kinsoku/>
        <w:wordWrap/>
        <w:overflowPunct/>
        <w:topLinePunct w:val="0"/>
        <w:autoSpaceDE/>
        <w:autoSpaceDN/>
        <w:bidi w:val="0"/>
        <w:adjustRightInd/>
        <w:snapToGrid/>
        <w:ind w:left="0" w:leftChars="0" w:right="0" w:rightChars="0" w:firstLine="630" w:firstLineChars="200"/>
        <w:jc w:val="left"/>
        <w:textAlignment w:val="auto"/>
        <w:rPr>
          <w:rFonts w:hint="eastAsia" w:ascii="仿宋" w:hAnsi="仿宋" w:eastAsia="仿宋" w:cs="仿宋"/>
          <w:color w:val="000000" w:themeColor="text1"/>
          <w:spacing w:val="3"/>
          <w:sz w:val="31"/>
          <w:szCs w:val="31"/>
          <w:lang w:val="en-US" w:eastAsia="zh-CN"/>
          <w14:textFill>
            <w14:solidFill>
              <w14:schemeClr w14:val="tx1"/>
            </w14:solidFill>
          </w14:textFill>
        </w:rPr>
      </w:pPr>
      <w:r>
        <w:rPr>
          <w:rFonts w:hint="eastAsia" w:ascii="楷体" w:hAnsi="楷体" w:eastAsia="楷体" w:cs="楷体"/>
          <w:b/>
          <w:bCs/>
          <w:color w:val="000000" w:themeColor="text1"/>
          <w:spacing w:val="2"/>
          <w:sz w:val="31"/>
          <w:szCs w:val="31"/>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三</w:t>
      </w:r>
      <w:r>
        <w:rPr>
          <w:rFonts w:hint="eastAsia" w:ascii="楷体" w:hAnsi="楷体" w:eastAsia="楷体" w:cs="楷体"/>
          <w:b/>
          <w:bCs/>
          <w:color w:val="000000" w:themeColor="text1"/>
          <w:spacing w:val="2"/>
          <w:sz w:val="31"/>
          <w:szCs w:val="31"/>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3"/>
          <w:sz w:val="31"/>
          <w:szCs w:val="31"/>
          <w:lang w:val="en-US" w:eastAsia="zh-CN"/>
          <w14:textFill>
            <w14:solidFill>
              <w14:schemeClr w14:val="tx1"/>
            </w14:solidFill>
          </w14:textFill>
        </w:rPr>
        <w:t>数据发展和安全坚持中国共产党的领导，遵循统筹规划、科学发展、共享共用、依法管理、保障安全的原则。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30" w:firstLineChars="200"/>
        <w:jc w:val="left"/>
        <w:textAlignment w:val="auto"/>
        <w:rPr>
          <w:rFonts w:hint="eastAsia" w:ascii="仿宋" w:hAnsi="仿宋" w:eastAsia="仿宋" w:cs="仿宋"/>
          <w:color w:val="000000" w:themeColor="text1"/>
          <w:spacing w:val="3"/>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四</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b w:val="0"/>
          <w:bCs w:val="0"/>
          <w:color w:val="000000" w:themeColor="text1"/>
          <w:spacing w:val="3"/>
          <w:sz w:val="31"/>
          <w:szCs w:val="31"/>
          <w:lang w:val="en-US" w:eastAsia="zh-CN"/>
          <w14:textFill>
            <w14:solidFill>
              <w14:schemeClr w14:val="tx1"/>
            </w14:solidFill>
          </w14:textFill>
        </w:rPr>
        <w:t>自治区</w:t>
      </w:r>
      <w:r>
        <w:rPr>
          <w:rFonts w:hint="default" w:ascii="仿宋" w:hAnsi="仿宋" w:eastAsia="仿宋" w:cs="仿宋"/>
          <w:color w:val="000000" w:themeColor="text1"/>
          <w:spacing w:val="3"/>
          <w:sz w:val="31"/>
          <w:szCs w:val="31"/>
          <w:lang w:val="en-US" w:eastAsia="zh-CN"/>
          <w14:textFill>
            <w14:solidFill>
              <w14:schemeClr w14:val="tx1"/>
            </w14:solidFill>
          </w14:textFill>
        </w:rPr>
        <w:t>坚持促进发展和监管规范并举</w:t>
      </w:r>
      <w:r>
        <w:rPr>
          <w:rFonts w:hint="eastAsia" w:ascii="仿宋" w:hAnsi="仿宋" w:eastAsia="仿宋" w:cs="仿宋"/>
          <w:color w:val="000000" w:themeColor="text1"/>
          <w:spacing w:val="3"/>
          <w:sz w:val="31"/>
          <w:szCs w:val="31"/>
          <w:lang w:val="en-US" w:eastAsia="zh-CN"/>
          <w14:textFill>
            <w14:solidFill>
              <w14:schemeClr w14:val="tx1"/>
            </w14:solidFill>
          </w14:textFill>
        </w:rPr>
        <w:t>，</w:t>
      </w:r>
      <w:r>
        <w:rPr>
          <w:rFonts w:hint="default" w:ascii="仿宋" w:hAnsi="仿宋" w:eastAsia="仿宋" w:cs="仿宋"/>
          <w:color w:val="000000" w:themeColor="text1"/>
          <w:spacing w:val="3"/>
          <w:sz w:val="31"/>
          <w:szCs w:val="31"/>
          <w:lang w:val="en-US" w:eastAsia="zh-CN"/>
          <w14:textFill>
            <w14:solidFill>
              <w14:schemeClr w14:val="tx1"/>
            </w14:solidFill>
          </w14:textFill>
        </w:rPr>
        <w:t>统筹推进数据权益保护、流通利用、安全管理</w:t>
      </w:r>
      <w:r>
        <w:rPr>
          <w:rFonts w:hint="eastAsia" w:ascii="仿宋" w:hAnsi="仿宋" w:eastAsia="仿宋" w:cs="仿宋"/>
          <w:color w:val="000000" w:themeColor="text1"/>
          <w:spacing w:val="3"/>
          <w:sz w:val="31"/>
          <w:szCs w:val="31"/>
          <w:lang w:val="en-US" w:eastAsia="zh-CN"/>
          <w14:textFill>
            <w14:solidFill>
              <w14:schemeClr w14:val="tx1"/>
            </w14:solidFill>
          </w14:textFill>
        </w:rPr>
        <w:t>，</w:t>
      </w:r>
      <w:r>
        <w:rPr>
          <w:rFonts w:hint="eastAsia" w:ascii="仿宋" w:hAnsi="仿宋" w:eastAsia="仿宋" w:cs="仿宋"/>
          <w:color w:val="000000" w:themeColor="text1"/>
          <w:spacing w:val="7"/>
          <w:sz w:val="31"/>
          <w:szCs w:val="31"/>
          <w:lang w:val="en-US" w:eastAsia="zh-CN"/>
          <w14:textFill>
            <w14:solidFill>
              <w14:schemeClr w14:val="tx1"/>
            </w14:solidFill>
          </w14:textFill>
        </w:rPr>
        <w:t>深化数据要素市场化配置改革</w:t>
      </w:r>
      <w:r>
        <w:rPr>
          <w:rFonts w:hint="eastAsia" w:ascii="仿宋" w:hAnsi="仿宋" w:eastAsia="仿宋" w:cs="仿宋"/>
          <w:color w:val="000000" w:themeColor="text1"/>
          <w:spacing w:val="3"/>
          <w:sz w:val="31"/>
          <w:szCs w:val="31"/>
          <w:lang w:val="en-US" w:eastAsia="zh-CN"/>
          <w14:textFill>
            <w14:solidFill>
              <w14:schemeClr w14:val="tx1"/>
            </w14:solidFill>
          </w14:textFill>
        </w:rPr>
        <w:t>，培育发展数据产业，充分实现数据要素价值，促进全社会共享数字经济发展红利。</w:t>
      </w:r>
    </w:p>
    <w:p>
      <w:pPr>
        <w:spacing w:line="360" w:lineRule="auto"/>
        <w:ind w:firstLine="630" w:firstLineChars="200"/>
        <w:rPr>
          <w:rFonts w:hint="eastAsia" w:ascii="仿宋" w:hAnsi="仿宋" w:eastAsia="仿宋" w:cs="仿宋"/>
          <w:color w:val="000000" w:themeColor="text1"/>
          <w:spacing w:val="3"/>
          <w:sz w:val="31"/>
          <w:szCs w:val="31"/>
          <w:lang w:val="en-US" w:eastAsia="zh-CN"/>
          <w14:textFill>
            <w14:solidFill>
              <w14:schemeClr w14:val="tx1"/>
            </w14:solidFill>
          </w14:textFill>
        </w:rPr>
      </w:pP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第五条 </w:t>
      </w:r>
      <w:r>
        <w:rPr>
          <w:rFonts w:hint="eastAsia" w:ascii="仿宋" w:hAnsi="仿宋" w:eastAsia="仿宋" w:cs="仿宋"/>
          <w:color w:val="000000" w:themeColor="text1"/>
          <w:spacing w:val="3"/>
          <w:sz w:val="31"/>
          <w:szCs w:val="31"/>
          <w:lang w:val="en-US" w:eastAsia="zh-CN"/>
          <w14:textFill>
            <w14:solidFill>
              <w14:schemeClr w14:val="tx1"/>
            </w14:solidFill>
          </w14:textFill>
        </w:rPr>
        <w:t>县级以上人民政府应当加强对数据工作的领导，将数据发展和安全纳入国民经济和社会发展规划，建立健全数据工作协调机制、评价机制和人才保障机制，制定完善政策措施，研究解决数据发展和安全中的重大问题。</w:t>
      </w:r>
    </w:p>
    <w:p>
      <w:pPr>
        <w:spacing w:line="360" w:lineRule="auto"/>
        <w:ind w:firstLine="630" w:firstLineChars="200"/>
        <w:rPr>
          <w:rFonts w:hint="eastAsia" w:ascii="仿宋" w:hAnsi="仿宋" w:eastAsia="仿宋" w:cs="仿宋"/>
          <w:color w:val="000000" w:themeColor="text1"/>
          <w:spacing w:val="3"/>
          <w:sz w:val="31"/>
          <w:szCs w:val="31"/>
          <w:lang w:val="en-US" w:eastAsia="zh-CN"/>
          <w14:textFill>
            <w14:solidFill>
              <w14:schemeClr w14:val="tx1"/>
            </w14:solidFill>
          </w14:textFill>
        </w:rPr>
      </w:pP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第六条 </w:t>
      </w:r>
      <w:r>
        <w:rPr>
          <w:rFonts w:hint="eastAsia" w:ascii="仿宋" w:hAnsi="仿宋" w:eastAsia="仿宋" w:cs="仿宋"/>
          <w:color w:val="000000" w:themeColor="text1"/>
          <w:spacing w:val="3"/>
          <w:sz w:val="31"/>
          <w:szCs w:val="31"/>
          <w:lang w:val="en-US" w:eastAsia="zh-CN"/>
          <w14:textFill>
            <w14:solidFill>
              <w14:schemeClr w14:val="tx1"/>
            </w14:solidFill>
          </w14:textFill>
        </w:rPr>
        <w:t>自治区人民政府</w:t>
      </w:r>
      <w:r>
        <w:rPr>
          <w:rFonts w:hint="eastAsia" w:ascii="仿宋" w:hAnsi="仿宋" w:eastAsia="仿宋" w:cs="仿宋"/>
          <w:color w:val="000000" w:themeColor="text1"/>
          <w:spacing w:val="3"/>
          <w:sz w:val="31"/>
          <w:szCs w:val="31"/>
          <w:lang w:eastAsia="zh-CN"/>
          <w14:textFill>
            <w14:solidFill>
              <w14:schemeClr w14:val="tx1"/>
            </w14:solidFill>
          </w14:textFill>
        </w:rPr>
        <w:t>数据管理部门</w:t>
      </w:r>
      <w:r>
        <w:rPr>
          <w:rFonts w:ascii="仿宋" w:hAnsi="仿宋" w:eastAsia="仿宋" w:cs="仿宋"/>
          <w:color w:val="000000" w:themeColor="text1"/>
          <w:spacing w:val="3"/>
          <w:sz w:val="31"/>
          <w:szCs w:val="31"/>
          <w14:textFill>
            <w14:solidFill>
              <w14:schemeClr w14:val="tx1"/>
            </w14:solidFill>
          </w14:textFill>
        </w:rPr>
        <w:t>负责</w:t>
      </w:r>
      <w:r>
        <w:rPr>
          <w:rFonts w:hint="eastAsia" w:ascii="仿宋" w:hAnsi="仿宋" w:eastAsia="仿宋" w:cs="仿宋"/>
          <w:color w:val="000000" w:themeColor="text1"/>
          <w:spacing w:val="3"/>
          <w:sz w:val="31"/>
          <w:szCs w:val="31"/>
          <w:lang w:val="en-US" w:eastAsia="zh-CN"/>
          <w14:textFill>
            <w14:solidFill>
              <w14:schemeClr w14:val="tx1"/>
            </w14:solidFill>
          </w14:textFill>
        </w:rPr>
        <w:t>全区</w:t>
      </w:r>
      <w:r>
        <w:rPr>
          <w:rFonts w:ascii="仿宋" w:hAnsi="仿宋" w:eastAsia="仿宋" w:cs="仿宋"/>
          <w:color w:val="000000" w:themeColor="text1"/>
          <w:spacing w:val="3"/>
          <w:sz w:val="31"/>
          <w:szCs w:val="31"/>
          <w14:textFill>
            <w14:solidFill>
              <w14:schemeClr w14:val="tx1"/>
            </w14:solidFill>
          </w14:textFill>
        </w:rPr>
        <w:t>数据</w:t>
      </w:r>
      <w:r>
        <w:rPr>
          <w:rFonts w:hint="eastAsia" w:ascii="仿宋" w:hAnsi="仿宋" w:eastAsia="仿宋" w:cs="仿宋"/>
          <w:color w:val="000000" w:themeColor="text1"/>
          <w:spacing w:val="3"/>
          <w:sz w:val="31"/>
          <w:szCs w:val="31"/>
          <w:lang w:val="en-US" w:eastAsia="zh-CN"/>
          <w14:textFill>
            <w14:solidFill>
              <w14:schemeClr w14:val="tx1"/>
            </w14:solidFill>
          </w14:textFill>
        </w:rPr>
        <w:t>管理</w:t>
      </w:r>
      <w:r>
        <w:rPr>
          <w:rFonts w:hint="eastAsia" w:ascii="仿宋" w:hAnsi="仿宋" w:eastAsia="仿宋" w:cs="仿宋"/>
          <w:color w:val="000000" w:themeColor="text1"/>
          <w:spacing w:val="3"/>
          <w:sz w:val="31"/>
          <w:szCs w:val="31"/>
          <w14:textFill>
            <w14:solidFill>
              <w14:schemeClr w14:val="tx1"/>
            </w14:solidFill>
          </w14:textFill>
        </w:rPr>
        <w:t>工作</w:t>
      </w:r>
      <w:r>
        <w:rPr>
          <w:rFonts w:hint="eastAsia" w:ascii="仿宋" w:hAnsi="仿宋" w:eastAsia="仿宋" w:cs="仿宋"/>
          <w:color w:val="000000" w:themeColor="text1"/>
          <w:spacing w:val="3"/>
          <w:sz w:val="31"/>
          <w:szCs w:val="31"/>
          <w:lang w:eastAsia="zh-CN"/>
          <w14:textFill>
            <w14:solidFill>
              <w14:schemeClr w14:val="tx1"/>
            </w14:solidFill>
          </w14:textFill>
        </w:rPr>
        <w:t>，</w:t>
      </w:r>
      <w:r>
        <w:rPr>
          <w:rFonts w:hint="eastAsia" w:ascii="仿宋" w:hAnsi="仿宋" w:eastAsia="仿宋" w:cs="仿宋"/>
          <w:color w:val="000000" w:themeColor="text1"/>
          <w:spacing w:val="3"/>
          <w:sz w:val="31"/>
          <w:szCs w:val="31"/>
          <w:lang w:val="en-US" w:eastAsia="zh-CN"/>
          <w14:textFill>
            <w14:solidFill>
              <w14:schemeClr w14:val="tx1"/>
            </w14:solidFill>
          </w14:textFill>
        </w:rPr>
        <w:t>统筹推进数据基础制度建设、数据基础设施建设、数据资源汇聚治理和开发利用、数据要素市场建设等工作。</w:t>
      </w:r>
    </w:p>
    <w:p>
      <w:pPr>
        <w:spacing w:line="360" w:lineRule="auto"/>
        <w:ind w:firstLine="632" w:firstLineChars="200"/>
        <w:rPr>
          <w:rFonts w:hint="default" w:ascii="仿宋" w:hAnsi="仿宋" w:eastAsia="仿宋" w:cs="仿宋"/>
          <w:color w:val="000000" w:themeColor="text1"/>
          <w:sz w:val="31"/>
          <w:szCs w:val="31"/>
          <w:lang w:val="en-US"/>
          <w14:textFill>
            <w14:solidFill>
              <w14:schemeClr w14:val="tx1"/>
            </w14:solidFill>
          </w14:textFill>
        </w:rPr>
      </w:pPr>
      <w:r>
        <w:rPr>
          <w:rFonts w:hint="eastAsia" w:ascii="仿宋" w:hAnsi="仿宋" w:eastAsia="仿宋" w:cs="仿宋"/>
          <w:color w:val="000000" w:themeColor="text1"/>
          <w:spacing w:val="3"/>
          <w:sz w:val="31"/>
          <w:szCs w:val="31"/>
          <w:lang w:val="en-US" w:eastAsia="zh-CN"/>
          <w14:textFill>
            <w14:solidFill>
              <w14:schemeClr w14:val="tx1"/>
            </w14:solidFill>
          </w14:textFill>
        </w:rPr>
        <w:t>设区的市、县（市）区人民政府数据管理部门负责本行政区域内数据管理工作。</w:t>
      </w:r>
    </w:p>
    <w:p>
      <w:pPr>
        <w:spacing w:line="360" w:lineRule="auto"/>
        <w:ind w:firstLine="620" w:firstLineChars="200"/>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color w:val="000000" w:themeColor="text1"/>
          <w:sz w:val="31"/>
          <w:szCs w:val="31"/>
          <w:lang w:val="en-US" w:eastAsia="zh-CN"/>
          <w14:textFill>
            <w14:solidFill>
              <w14:schemeClr w14:val="tx1"/>
            </w14:solidFill>
          </w14:textFill>
        </w:rPr>
        <w:t>县级以上人民政府</w:t>
      </w:r>
      <w:r>
        <w:rPr>
          <w:rFonts w:hint="eastAsia" w:ascii="仿宋" w:hAnsi="仿宋" w:eastAsia="仿宋" w:cs="仿宋"/>
          <w:color w:val="000000" w:themeColor="text1"/>
          <w:sz w:val="31"/>
          <w:szCs w:val="31"/>
          <w14:textFill>
            <w14:solidFill>
              <w14:schemeClr w14:val="tx1"/>
            </w14:solidFill>
          </w14:textFill>
        </w:rPr>
        <w:t>各</w:t>
      </w:r>
      <w:r>
        <w:rPr>
          <w:rFonts w:hint="eastAsia" w:ascii="仿宋" w:hAnsi="仿宋" w:eastAsia="仿宋" w:cs="仿宋"/>
          <w:color w:val="000000" w:themeColor="text1"/>
          <w:sz w:val="31"/>
          <w:szCs w:val="31"/>
          <w:lang w:val="en-US" w:eastAsia="zh-CN"/>
          <w14:textFill>
            <w14:solidFill>
              <w14:schemeClr w14:val="tx1"/>
            </w14:solidFill>
          </w14:textFill>
        </w:rPr>
        <w:t>行业主管</w:t>
      </w:r>
      <w:r>
        <w:rPr>
          <w:rFonts w:hint="eastAsia" w:ascii="仿宋" w:hAnsi="仿宋" w:eastAsia="仿宋" w:cs="仿宋"/>
          <w:color w:val="000000" w:themeColor="text1"/>
          <w:sz w:val="31"/>
          <w:szCs w:val="31"/>
          <w14:textFill>
            <w14:solidFill>
              <w14:schemeClr w14:val="tx1"/>
            </w14:solidFill>
          </w14:textFill>
        </w:rPr>
        <w:t>部门在各自职责范围内</w:t>
      </w:r>
      <w:r>
        <w:rPr>
          <w:rFonts w:hint="eastAsia" w:ascii="仿宋" w:hAnsi="仿宋" w:eastAsia="仿宋" w:cs="仿宋"/>
          <w:color w:val="000000" w:themeColor="text1"/>
          <w:sz w:val="31"/>
          <w:szCs w:val="31"/>
          <w:lang w:val="en-US" w:eastAsia="zh-CN"/>
          <w14:textFill>
            <w14:solidFill>
              <w14:schemeClr w14:val="tx1"/>
            </w14:solidFill>
          </w14:textFill>
        </w:rPr>
        <w:t>做好</w:t>
      </w:r>
      <w:r>
        <w:rPr>
          <w:rFonts w:hint="eastAsia" w:ascii="仿宋" w:hAnsi="仿宋" w:eastAsia="仿宋" w:cs="仿宋"/>
          <w:color w:val="000000" w:themeColor="text1"/>
          <w:sz w:val="31"/>
          <w:szCs w:val="31"/>
          <w14:textFill>
            <w14:solidFill>
              <w14:schemeClr w14:val="tx1"/>
            </w14:solidFill>
          </w14:textFill>
        </w:rPr>
        <w:t>本行业、本领域的数据相关工作。</w:t>
      </w:r>
    </w:p>
    <w:p>
      <w:pPr>
        <w:spacing w:line="360" w:lineRule="auto"/>
        <w:ind w:firstLine="630" w:firstLineChars="200"/>
        <w:rPr>
          <w:rFonts w:hint="eastAsia" w:ascii="仿宋" w:hAnsi="仿宋" w:eastAsia="仿宋" w:cs="仿宋"/>
          <w:color w:val="000000" w:themeColor="text1"/>
          <w:spacing w:val="7"/>
          <w:sz w:val="31"/>
          <w:szCs w:val="31"/>
          <w:lang w:eastAsia="zh-CN"/>
          <w14:textFill>
            <w14:solidFill>
              <w14:schemeClr w14:val="tx1"/>
            </w14:solidFill>
          </w14:textFill>
        </w:rPr>
      </w:pP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第七条 </w:t>
      </w:r>
      <w:r>
        <w:rPr>
          <w:rFonts w:hint="eastAsia" w:ascii="仿宋" w:hAnsi="仿宋" w:eastAsia="仿宋" w:cs="仿宋"/>
          <w:color w:val="000000" w:themeColor="text1"/>
          <w:spacing w:val="7"/>
          <w:sz w:val="31"/>
          <w:szCs w:val="31"/>
          <w:lang w:val="en-US" w:eastAsia="zh-CN"/>
          <w14:textFill>
            <w14:solidFill>
              <w14:schemeClr w14:val="tx1"/>
            </w14:solidFill>
          </w14:textFill>
        </w:rPr>
        <w:t>自治区人民政府</w:t>
      </w:r>
      <w:r>
        <w:rPr>
          <w:rFonts w:ascii="仿宋" w:hAnsi="仿宋" w:eastAsia="仿宋" w:cs="仿宋"/>
          <w:color w:val="000000" w:themeColor="text1"/>
          <w:spacing w:val="7"/>
          <w:sz w:val="31"/>
          <w:szCs w:val="31"/>
          <w14:textFill>
            <w14:solidFill>
              <w14:schemeClr w14:val="tx1"/>
            </w14:solidFill>
          </w14:textFill>
        </w:rPr>
        <w:t>标准化主管部门</w:t>
      </w:r>
      <w:r>
        <w:rPr>
          <w:rFonts w:hint="eastAsia" w:ascii="仿宋" w:hAnsi="仿宋" w:eastAsia="仿宋" w:cs="仿宋"/>
          <w:color w:val="000000" w:themeColor="text1"/>
          <w:spacing w:val="7"/>
          <w:sz w:val="31"/>
          <w:szCs w:val="31"/>
          <w:lang w:val="en-US" w:eastAsia="zh-CN"/>
          <w14:textFill>
            <w14:solidFill>
              <w14:schemeClr w14:val="tx1"/>
            </w14:solidFill>
          </w14:textFill>
        </w:rPr>
        <w:t>应当会同</w:t>
      </w:r>
      <w:r>
        <w:rPr>
          <w:rFonts w:hint="eastAsia" w:ascii="仿宋" w:hAnsi="仿宋" w:eastAsia="仿宋" w:cs="仿宋"/>
          <w:color w:val="000000" w:themeColor="text1"/>
          <w:spacing w:val="7"/>
          <w:sz w:val="31"/>
          <w:szCs w:val="31"/>
          <w:lang w:eastAsia="zh-CN"/>
          <w14:textFill>
            <w14:solidFill>
              <w14:schemeClr w14:val="tx1"/>
            </w14:solidFill>
          </w14:textFill>
        </w:rPr>
        <w:t>数据管理部门</w:t>
      </w:r>
      <w:r>
        <w:rPr>
          <w:rFonts w:ascii="仿宋" w:hAnsi="仿宋" w:eastAsia="仿宋" w:cs="仿宋"/>
          <w:color w:val="000000" w:themeColor="text1"/>
          <w:spacing w:val="7"/>
          <w:sz w:val="31"/>
          <w:szCs w:val="31"/>
          <w14:textFill>
            <w14:solidFill>
              <w14:schemeClr w14:val="tx1"/>
            </w14:solidFill>
          </w14:textFill>
        </w:rPr>
        <w:t>和有关部门</w:t>
      </w:r>
      <w:r>
        <w:rPr>
          <w:rFonts w:hint="eastAsia" w:ascii="仿宋" w:hAnsi="仿宋" w:eastAsia="仿宋" w:cs="仿宋"/>
          <w:color w:val="000000" w:themeColor="text1"/>
          <w:spacing w:val="7"/>
          <w:sz w:val="31"/>
          <w:szCs w:val="31"/>
          <w:lang w:val="en-US" w:eastAsia="zh-CN"/>
          <w14:textFill>
            <w14:solidFill>
              <w14:schemeClr w14:val="tx1"/>
            </w14:solidFill>
          </w14:textFill>
        </w:rPr>
        <w:t>加强</w:t>
      </w:r>
      <w:r>
        <w:rPr>
          <w:rFonts w:ascii="仿宋" w:hAnsi="仿宋" w:eastAsia="仿宋" w:cs="仿宋"/>
          <w:color w:val="000000" w:themeColor="text1"/>
          <w:spacing w:val="7"/>
          <w:sz w:val="31"/>
          <w:szCs w:val="31"/>
          <w14:textFill>
            <w14:solidFill>
              <w14:schemeClr w14:val="tx1"/>
            </w14:solidFill>
          </w14:textFill>
        </w:rPr>
        <w:t>数据</w:t>
      </w:r>
      <w:r>
        <w:rPr>
          <w:rFonts w:hint="eastAsia" w:ascii="仿宋" w:hAnsi="仿宋" w:eastAsia="仿宋" w:cs="仿宋"/>
          <w:color w:val="000000" w:themeColor="text1"/>
          <w:spacing w:val="7"/>
          <w:sz w:val="31"/>
          <w:szCs w:val="31"/>
          <w14:textFill>
            <w14:solidFill>
              <w14:schemeClr w14:val="tx1"/>
            </w14:solidFill>
          </w14:textFill>
        </w:rPr>
        <w:t>标准</w:t>
      </w:r>
      <w:r>
        <w:rPr>
          <w:rFonts w:hint="eastAsia" w:ascii="仿宋" w:hAnsi="仿宋" w:eastAsia="仿宋" w:cs="仿宋"/>
          <w:color w:val="000000" w:themeColor="text1"/>
          <w:spacing w:val="7"/>
          <w:sz w:val="31"/>
          <w:szCs w:val="31"/>
          <w:lang w:val="en-US" w:eastAsia="zh-CN"/>
          <w14:textFill>
            <w14:solidFill>
              <w14:schemeClr w14:val="tx1"/>
            </w14:solidFill>
          </w14:textFill>
        </w:rPr>
        <w:t>应用和管理</w:t>
      </w:r>
      <w:r>
        <w:rPr>
          <w:rFonts w:hint="eastAsia" w:ascii="仿宋" w:hAnsi="仿宋" w:eastAsia="仿宋" w:cs="仿宋"/>
          <w:color w:val="000000" w:themeColor="text1"/>
          <w:spacing w:val="7"/>
          <w:sz w:val="31"/>
          <w:szCs w:val="31"/>
          <w14:textFill>
            <w14:solidFill>
              <w14:schemeClr w14:val="tx1"/>
            </w14:solidFill>
          </w14:textFill>
        </w:rPr>
        <w:t>工</w:t>
      </w:r>
      <w:r>
        <w:rPr>
          <w:rFonts w:ascii="仿宋" w:hAnsi="仿宋" w:eastAsia="仿宋" w:cs="仿宋"/>
          <w:color w:val="000000" w:themeColor="text1"/>
          <w:spacing w:val="7"/>
          <w:sz w:val="31"/>
          <w:szCs w:val="31"/>
          <w14:textFill>
            <w14:solidFill>
              <w14:schemeClr w14:val="tx1"/>
            </w14:solidFill>
          </w14:textFill>
        </w:rPr>
        <w:t>作</w:t>
      </w:r>
      <w:r>
        <w:rPr>
          <w:rFonts w:hint="eastAsia" w:ascii="仿宋" w:hAnsi="仿宋" w:eastAsia="仿宋" w:cs="仿宋"/>
          <w:color w:val="000000" w:themeColor="text1"/>
          <w:spacing w:val="7"/>
          <w:sz w:val="31"/>
          <w:szCs w:val="31"/>
          <w:lang w:eastAsia="zh-CN"/>
          <w14:textFill>
            <w14:solidFill>
              <w14:schemeClr w14:val="tx1"/>
            </w14:solidFill>
          </w14:textFill>
        </w:rPr>
        <w:t>，完善并推广数据基础设施、资源、技术、流通、融合应用和安全等标准规范。</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八</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县级以上人民政府应当结合实际按照国家和自治区有关规划政策统筹安排资金支持数据产业发展，重点支持基础设施建设、关键技术攻关、产业链构建、市场主体培育等。</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鼓励以市场化方式设立数据领域的创业投资基金，支持金融机构创新金融产品和金融服务，引导数据企业进入多层次资本市场进行融资，拓宽融资渠道。</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九</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县级以上人民政府及其有关部门应当加强数据领域人才队伍建设，建立完善数据领域人才引进、培育、激励和评价制度机制，培养数据管理型、技术型、应用型人才。</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鼓励高校、科研院所与企业通过各种形式合作开展数据人才培养。</w:t>
      </w:r>
    </w:p>
    <w:p>
      <w:pPr>
        <w:spacing w:line="360" w:lineRule="auto"/>
        <w:ind w:firstLine="630" w:firstLineChars="200"/>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十</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t>县级以上人民政府及其有关部门应当加强数据管理工作，由本行政区域或者本部门相关负责人担任数据管理工作责任人，负责统筹本行业或者本部门数据管理工作，推动数据汇聚治理、共享开放和开发利用。</w:t>
      </w:r>
    </w:p>
    <w:p>
      <w:pPr>
        <w:spacing w:line="360" w:lineRule="auto"/>
        <w:ind w:firstLine="648" w:firstLineChars="200"/>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pPr>
      <w:r>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t>鼓励企事业单位建立首席数据官制度，发挥首席数据官在数据资源汇聚治理、开发利用、数据资产管理、人才培育、安全防护等方面的统筹管理作用，挖掘数据价值，提高数据产品和服务质量。</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十一</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县级以上人民政府及其有关部门应当加强数据领域法律法规和技术知识的宣传解读和教育培训，提高全社会数据认知能力和应用水平，提升全民数字素养和数字技能。</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十二</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对在数据工作中做出突出贡献的单位和个人，按照国家和自治区有关规定给予表彰、奖励。</w:t>
      </w:r>
    </w:p>
    <w:p>
      <w:pPr>
        <w:spacing w:line="360" w:lineRule="auto"/>
        <w:ind w:left="0" w:leftChars="0" w:right="0" w:rightChars="0" w:firstLine="0" w:firstLineChars="0"/>
        <w:jc w:val="center"/>
        <w:rPr>
          <w:rFonts w:hint="default" w:ascii="仿宋" w:hAnsi="仿宋" w:eastAsia="仿宋" w:cs="仿宋"/>
          <w:color w:val="000000" w:themeColor="text1"/>
          <w:spacing w:val="7"/>
          <w:sz w:val="31"/>
          <w:szCs w:val="31"/>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第二章 数据资源管理</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十三</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自治区建立健全统一的数据资源体系，依法推动数据资源采集汇聚、加工处理、共享开放、创新应用。</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十四</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公共管理和服务机构应当在各自职责范围内负责本机构和本领域公共数据资源汇聚治理、采集编目、共享开放、应用推广和安全防护等工作。</w:t>
      </w:r>
    </w:p>
    <w:p>
      <w:pPr>
        <w:spacing w:line="360" w:lineRule="auto"/>
        <w:ind w:firstLine="648" w:firstLineChars="200"/>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pPr>
      <w:r>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t>公共数据管理涉及多个机构或者责任不明确的，由本级数据管理部门根据实际情况会同机构编制管理部门确定责任机构。对确定责任机构有异议的，由本级人民政府指定。</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十五</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自治区建立全区统一的数据平台，实现公共数据资源的汇聚、治理、登记、共享和开放。</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自治区人民政府数据管理部门应当负责自治区数据平台的规划、建设和管理，指定专门的部门负责自治区数据平台的设计、运行和维护。</w:t>
      </w:r>
    </w:p>
    <w:p>
      <w:pPr>
        <w:spacing w:line="360" w:lineRule="auto"/>
        <w:ind w:firstLine="648" w:firstLineChars="200"/>
        <w:rPr>
          <w:rFonts w:hint="default"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财政资金保障运行的公共管理和服务机构不得在自治区数据平台之外新建跨部门、跨层级、跨地区的数据平台；已经建成的，应当按照有关规定整合归并、互联互通或者共享共用。</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十六</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公共数据资源实行统一目录管理，公共数据资源目录应当明确公共数据的来源、更新频率、安全等级、共享开放属性等要素。</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自治区人民政府数据管理部门应当统筹推进自治区、设区的市、县（市）区三级公共数据资源目录一体化建设，制定统一的公共数据资源目录编制指南和动态调整机制，统筹组织编制、发布自治区公共数据资源目录。</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设区的市、县（市）区人民政府数据管理部门应当按照目录编制指南，组织编制本级公共数据资源子目录，报上一级数据管理部门审核，并将本级公共数据资源子目录纳入自治区公共数据资源目录。</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公共管理和服务机构应当按照目录编制指南，编制和更新本机构公共数据资源目录，报同级数据管理部门审核，并按照公共数据资源目录和应用需求，完整、准确、及时向自治区数据平台汇聚数据。</w:t>
      </w:r>
    </w:p>
    <w:p>
      <w:pPr>
        <w:spacing w:line="360" w:lineRule="auto"/>
        <w:ind w:firstLine="648" w:firstLineChars="200"/>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bidi="ar-SA"/>
          <w14:textFill>
            <w14:solidFill>
              <w14:schemeClr w14:val="tx1"/>
            </w14:solidFill>
          </w14:textFill>
        </w:rPr>
        <w:t>鼓励企业参照公共数据资源目录编制指南，编制和更新本单位企业数据资源目录。</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十七</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自治区人民政府数据管理部门应当根据国家和自治区有关规定加强公共数据资源登记管理，推进登记服务标准化。</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自治区人民政府及其行业主管部门应当对纳入授权运营范围的公共数据资源进行登记，鼓励对未纳入授权运营范围的公共数据资源进行登记。</w:t>
      </w:r>
    </w:p>
    <w:p>
      <w:pPr>
        <w:spacing w:line="360" w:lineRule="auto"/>
        <w:ind w:firstLine="648" w:firstLineChars="200"/>
        <w:rPr>
          <w:rFonts w:hint="default" w:ascii="仿宋" w:hAnsi="仿宋" w:eastAsia="仿宋" w:cs="仿宋"/>
          <w:color w:val="000000" w:themeColor="text1"/>
          <w:spacing w:val="7"/>
          <w:sz w:val="31"/>
          <w:szCs w:val="31"/>
          <w:lang w:val="en-US" w:eastAsia="zh-CN"/>
          <w14:textFill>
            <w14:solidFill>
              <w14:schemeClr w14:val="tx1"/>
            </w14:solidFill>
          </w14:textFill>
        </w:rPr>
      </w:pPr>
      <w:r>
        <w:rPr>
          <w:rFonts w:hint="default" w:ascii="仿宋" w:hAnsi="仿宋" w:eastAsia="仿宋" w:cs="仿宋"/>
          <w:color w:val="000000" w:themeColor="text1"/>
          <w:spacing w:val="7"/>
          <w:sz w:val="31"/>
          <w:szCs w:val="31"/>
          <w:lang w:val="en-US" w:eastAsia="zh-CN"/>
          <w14:textFill>
            <w14:solidFill>
              <w14:schemeClr w14:val="tx1"/>
            </w14:solidFill>
          </w14:textFill>
        </w:rPr>
        <w:t>鼓励</w:t>
      </w:r>
      <w:r>
        <w:rPr>
          <w:rFonts w:hint="eastAsia" w:ascii="仿宋" w:hAnsi="仿宋" w:eastAsia="仿宋" w:cs="仿宋"/>
          <w:color w:val="000000" w:themeColor="text1"/>
          <w:spacing w:val="7"/>
          <w:sz w:val="31"/>
          <w:szCs w:val="31"/>
          <w:lang w:val="en-US" w:eastAsia="zh-CN"/>
          <w14:textFill>
            <w14:solidFill>
              <w14:schemeClr w14:val="tx1"/>
            </w14:solidFill>
          </w14:textFill>
        </w:rPr>
        <w:t>自然人、法人和非法人组织对依法享有的数据资源及</w:t>
      </w:r>
      <w:r>
        <w:rPr>
          <w:rFonts w:hint="default" w:ascii="仿宋" w:hAnsi="仿宋" w:eastAsia="仿宋" w:cs="仿宋"/>
          <w:color w:val="000000" w:themeColor="text1"/>
          <w:spacing w:val="7"/>
          <w:sz w:val="31"/>
          <w:szCs w:val="31"/>
          <w:lang w:val="en-US" w:eastAsia="zh-CN"/>
          <w14:textFill>
            <w14:solidFill>
              <w14:schemeClr w14:val="tx1"/>
            </w14:solidFill>
          </w14:textFill>
        </w:rPr>
        <w:t>加工形成的数据产品和服务进行登记。</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十八</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t>县级以上人民政府</w:t>
      </w:r>
      <w:r>
        <w:rPr>
          <w:rFonts w:hint="eastAsia" w:ascii="仿宋" w:hAnsi="仿宋" w:eastAsia="仿宋" w:cs="仿宋"/>
          <w:color w:val="000000" w:themeColor="text1"/>
          <w:spacing w:val="7"/>
          <w:sz w:val="31"/>
          <w:szCs w:val="31"/>
          <w:lang w:val="en-US" w:eastAsia="zh-CN"/>
          <w14:textFill>
            <w14:solidFill>
              <w14:schemeClr w14:val="tx1"/>
            </w14:solidFill>
          </w14:textFill>
        </w:rPr>
        <w:t>数据管理部门应当会同有关部门依法定期组织开展数据资源统计调查，严格落实统计调查主体责任。</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公共管理和服务机构以及有关企业应当配合开展数据资源情况统计调查工作，确保数据资源统计结果的完整性、准确性、一致性。</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十九</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t>县级以上人民政府数据管理部门会同有关部门</w:t>
      </w:r>
      <w:r>
        <w:rPr>
          <w:rFonts w:hint="eastAsia" w:ascii="仿宋" w:hAnsi="仿宋" w:eastAsia="仿宋" w:cs="仿宋"/>
          <w:color w:val="000000" w:themeColor="text1"/>
          <w:spacing w:val="7"/>
          <w:sz w:val="31"/>
          <w:szCs w:val="31"/>
          <w:lang w:val="en-US" w:eastAsia="zh-CN"/>
          <w14:textFill>
            <w14:solidFill>
              <w14:schemeClr w14:val="tx1"/>
            </w14:solidFill>
          </w14:textFill>
        </w:rPr>
        <w:t>加强公共数据资源质量管理，建立健全质量监督管理制度，定期开展质量评估，加强过程监管和结果运用。</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自治区人民政府有关部门应当建立完善自治区基础数据库及主题数据库，推动建设跨区域、跨行业、跨领域高质量数据集。</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自然人、法人和非法人组织发现公共数据资源存在错误、遗漏或者侵害其合法权益的，有权向县级以上人民政府数据管理部门或数据提供单位提出申诉，受理部门或单位应当按照有关规定及时处置并反馈结果。</w:t>
      </w:r>
    </w:p>
    <w:p>
      <w:pPr>
        <w:spacing w:line="360" w:lineRule="auto"/>
        <w:ind w:firstLine="630" w:firstLineChars="200"/>
        <w:rPr>
          <w:rFonts w:hint="default" w:ascii="仿宋" w:hAnsi="仿宋" w:eastAsia="仿宋" w:cs="仿宋"/>
          <w:b w:val="0"/>
          <w:bCs w:val="0"/>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二十</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t>县级以上人民政府数据管理部门应当会同有关部门指导企业建立数据资源管理制度，落实国家数据管理标准，开展数据治理能力评估，强化质量管理能力建设，引导企业加快向数据驱动的经营模式转型。相关行业协会依照章程为会员提供指导和服务。</w:t>
      </w:r>
    </w:p>
    <w:p>
      <w:pPr>
        <w:spacing w:line="360" w:lineRule="auto"/>
        <w:ind w:firstLine="648" w:firstLineChars="200"/>
        <w:rPr>
          <w:rFonts w:hint="default" w:ascii="楷体" w:hAnsi="楷体" w:eastAsia="楷体" w:cs="楷体"/>
          <w:b/>
          <w:bCs/>
          <w:color w:val="000000" w:themeColor="text1"/>
          <w:spacing w:val="2"/>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自治区支持企业依法开展数据全流程、标准化收集和治理，开发和使用智能化工具，建立覆盖研发、生产、销售、服务、管理等各环节的数据资源体系。</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二十一</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自治区人民政府财政部门应当会同数据管理等有关部门建立数据资产管理制度，推进数据资产全过程管理。</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推动公共管理和服务机构以及企业按照国家会计制度对数据资源进行会计处理，在编制资产负债表时对数据资源进行列示，对数据资源相关会计信息进行披露。</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二十二</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县级以上人民政府各行业主管部门通过垂直管理业务信息系统收集的公共数据资源，应当按照本行业管理要求和属地原则，按需向下级政府部门提供。</w:t>
      </w:r>
    </w:p>
    <w:p>
      <w:pPr>
        <w:spacing w:line="360" w:lineRule="auto"/>
        <w:ind w:left="0" w:leftChars="0" w:right="0" w:rightChars="0" w:firstLine="0" w:firstLineChars="0"/>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第三章 数据资源开发利用</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二十三</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自治区人民政府数据管理部门应当会同有关部门建立健全数据资源开发利用制度，提高开发利用水平，扩大公共数据资源供给规模，充分发挥数据要素赋能作用。</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支持企业开放数据，促进个人信息相关数据合理利用。</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二十四</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公共数据资源共享应当以共享为原则、不共享为例外，无法律、法规、规章依据的，不得拒绝共享。</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公共数据资源按照共享属性分为无条件共享、有条件共享和不予共享三种类型。</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公共管理和服务机构通过共享获得的数据资源，仅限用于本机构履行法定职责、提供公共服务需要，不得以任何形式提供给第三方，也不得用于其他目的。</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二十五</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公共管理和服务机构需要获取无条件共享公共数据资源的，可以通过自治区数据平台直接获取；需要获取有条件共享公共数据资源的，应当通过自治区数据平台向数据提供单位提出共享申请，并明示理由、依据、用途等。</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数据提供单位应当自收到申请之日起十个工作日内依据公共数据资源共享类型和条件予以答复，可共享的，应当予以共享；不可共享的，应当说明理由并提供依据；不能确定能否共享的，应当向同级数据管理部门报告，共同研究确定是否共享。</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公共管理和服务机构对共享获取的公共数据资源有异议或者发现错误的，应当自发现问题之日起五个工作日内反馈数据提供单位予以校核，数据提供单位应当及时处理回复。</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二十六</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公共数据资源开放应当遵循公正、公平、便民、无偿的原则，依法最大限度向社会开放。</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公共数据资源按照开放属性分为无条件开放、有条件开放和不予开放三种类型。</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自然人、法人和非法人组织需要获取无条件开放公共数据资源的，可以通过认证身份和明示获取用途后开放。</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自然人、法人和非法人组织需要获取有条件开放公共数据资源的，可以通过自治区数据平台向数据提供单位提出开放申请。公共数据资源开放申请程序按照本条例第二十五条第二款规定进行。</w:t>
      </w:r>
    </w:p>
    <w:p>
      <w:pPr>
        <w:spacing w:line="360" w:lineRule="auto"/>
        <w:ind w:firstLine="630" w:firstLineChars="200"/>
        <w:rPr>
          <w:rFonts w:hint="default"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二十七</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default" w:ascii="仿宋" w:hAnsi="仿宋" w:eastAsia="仿宋" w:cs="仿宋"/>
          <w:color w:val="000000" w:themeColor="text1"/>
          <w:spacing w:val="7"/>
          <w:sz w:val="31"/>
          <w:szCs w:val="31"/>
          <w:lang w:val="en-US" w:eastAsia="zh-CN"/>
          <w14:textFill>
            <w14:solidFill>
              <w14:schemeClr w14:val="tx1"/>
            </w14:solidFill>
          </w14:textFill>
        </w:rPr>
        <w:t>自然人、法人和非法人组织申请有条件开放公共数据</w:t>
      </w:r>
      <w:r>
        <w:rPr>
          <w:rFonts w:hint="eastAsia" w:ascii="仿宋" w:hAnsi="仿宋" w:eastAsia="仿宋" w:cs="仿宋"/>
          <w:color w:val="000000" w:themeColor="text1"/>
          <w:spacing w:val="7"/>
          <w:sz w:val="31"/>
          <w:szCs w:val="31"/>
          <w:lang w:val="en-US" w:eastAsia="zh-CN"/>
          <w14:textFill>
            <w14:solidFill>
              <w14:schemeClr w14:val="tx1"/>
            </w14:solidFill>
          </w14:textFill>
        </w:rPr>
        <w:t>资源</w:t>
      </w:r>
      <w:r>
        <w:rPr>
          <w:rFonts w:hint="default" w:ascii="仿宋" w:hAnsi="仿宋" w:eastAsia="仿宋" w:cs="仿宋"/>
          <w:color w:val="000000" w:themeColor="text1"/>
          <w:spacing w:val="7"/>
          <w:sz w:val="31"/>
          <w:szCs w:val="31"/>
          <w:lang w:val="en-US" w:eastAsia="zh-CN"/>
          <w14:textFill>
            <w14:solidFill>
              <w14:schemeClr w14:val="tx1"/>
            </w14:solidFill>
          </w14:textFill>
        </w:rPr>
        <w:t>的，应当签订</w:t>
      </w:r>
      <w:r>
        <w:rPr>
          <w:rFonts w:hint="eastAsia" w:ascii="仿宋" w:hAnsi="仿宋" w:eastAsia="仿宋" w:cs="仿宋"/>
          <w:color w:val="000000" w:themeColor="text1"/>
          <w:spacing w:val="7"/>
          <w:sz w:val="31"/>
          <w:szCs w:val="31"/>
          <w:lang w:val="en-US" w:eastAsia="zh-CN"/>
          <w14:textFill>
            <w14:solidFill>
              <w14:schemeClr w14:val="tx1"/>
            </w14:solidFill>
          </w14:textFill>
        </w:rPr>
        <w:t>公共</w:t>
      </w:r>
      <w:r>
        <w:rPr>
          <w:rFonts w:hint="default" w:ascii="仿宋" w:hAnsi="仿宋" w:eastAsia="仿宋" w:cs="仿宋"/>
          <w:color w:val="000000" w:themeColor="text1"/>
          <w:spacing w:val="7"/>
          <w:sz w:val="31"/>
          <w:szCs w:val="31"/>
          <w:lang w:val="en-US" w:eastAsia="zh-CN"/>
          <w14:textFill>
            <w14:solidFill>
              <w14:schemeClr w14:val="tx1"/>
            </w14:solidFill>
          </w14:textFill>
        </w:rPr>
        <w:t>数据</w:t>
      </w:r>
      <w:r>
        <w:rPr>
          <w:rFonts w:hint="eastAsia" w:ascii="仿宋" w:hAnsi="仿宋" w:eastAsia="仿宋" w:cs="仿宋"/>
          <w:color w:val="000000" w:themeColor="text1"/>
          <w:spacing w:val="7"/>
          <w:sz w:val="31"/>
          <w:szCs w:val="31"/>
          <w:lang w:val="en-US" w:eastAsia="zh-CN"/>
          <w14:textFill>
            <w14:solidFill>
              <w14:schemeClr w14:val="tx1"/>
            </w14:solidFill>
          </w14:textFill>
        </w:rPr>
        <w:t>资源开放</w:t>
      </w:r>
      <w:r>
        <w:rPr>
          <w:rFonts w:hint="default" w:ascii="仿宋" w:hAnsi="仿宋" w:eastAsia="仿宋" w:cs="仿宋"/>
          <w:color w:val="000000" w:themeColor="text1"/>
          <w:spacing w:val="7"/>
          <w:sz w:val="31"/>
          <w:szCs w:val="31"/>
          <w:lang w:val="en-US" w:eastAsia="zh-CN"/>
          <w14:textFill>
            <w14:solidFill>
              <w14:schemeClr w14:val="tx1"/>
            </w14:solidFill>
          </w14:textFill>
        </w:rPr>
        <w:t>利用</w:t>
      </w:r>
      <w:r>
        <w:rPr>
          <w:rFonts w:hint="eastAsia" w:ascii="仿宋" w:hAnsi="仿宋" w:eastAsia="仿宋" w:cs="仿宋"/>
          <w:color w:val="000000" w:themeColor="text1"/>
          <w:spacing w:val="7"/>
          <w:sz w:val="31"/>
          <w:szCs w:val="31"/>
          <w:lang w:val="en-US" w:eastAsia="zh-CN"/>
          <w14:textFill>
            <w14:solidFill>
              <w14:schemeClr w14:val="tx1"/>
            </w14:solidFill>
          </w14:textFill>
        </w:rPr>
        <w:t>协议</w:t>
      </w:r>
      <w:r>
        <w:rPr>
          <w:rFonts w:hint="default" w:ascii="仿宋" w:hAnsi="仿宋" w:eastAsia="仿宋" w:cs="仿宋"/>
          <w:color w:val="000000" w:themeColor="text1"/>
          <w:spacing w:val="7"/>
          <w:sz w:val="31"/>
          <w:szCs w:val="31"/>
          <w:lang w:val="en-US" w:eastAsia="zh-CN"/>
          <w14:textFill>
            <w14:solidFill>
              <w14:schemeClr w14:val="tx1"/>
            </w14:solidFill>
          </w14:textFill>
        </w:rPr>
        <w:t>。</w:t>
      </w:r>
    </w:p>
    <w:p>
      <w:pPr>
        <w:spacing w:line="360" w:lineRule="auto"/>
        <w:ind w:firstLine="648" w:firstLineChars="200"/>
        <w:rPr>
          <w:rFonts w:hint="default"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公共</w:t>
      </w:r>
      <w:r>
        <w:rPr>
          <w:rFonts w:hint="default" w:ascii="仿宋" w:hAnsi="仿宋" w:eastAsia="仿宋" w:cs="仿宋"/>
          <w:color w:val="000000" w:themeColor="text1"/>
          <w:spacing w:val="7"/>
          <w:sz w:val="31"/>
          <w:szCs w:val="31"/>
          <w:lang w:val="en-US" w:eastAsia="zh-CN"/>
          <w14:textFill>
            <w14:solidFill>
              <w14:schemeClr w14:val="tx1"/>
            </w14:solidFill>
          </w14:textFill>
        </w:rPr>
        <w:t>数据</w:t>
      </w:r>
      <w:r>
        <w:rPr>
          <w:rFonts w:hint="eastAsia" w:ascii="仿宋" w:hAnsi="仿宋" w:eastAsia="仿宋" w:cs="仿宋"/>
          <w:color w:val="000000" w:themeColor="text1"/>
          <w:spacing w:val="7"/>
          <w:sz w:val="31"/>
          <w:szCs w:val="31"/>
          <w:lang w:val="en-US" w:eastAsia="zh-CN"/>
          <w14:textFill>
            <w14:solidFill>
              <w14:schemeClr w14:val="tx1"/>
            </w14:solidFill>
          </w14:textFill>
        </w:rPr>
        <w:t>资源开放</w:t>
      </w:r>
      <w:r>
        <w:rPr>
          <w:rFonts w:hint="default" w:ascii="仿宋" w:hAnsi="仿宋" w:eastAsia="仿宋" w:cs="仿宋"/>
          <w:color w:val="000000" w:themeColor="text1"/>
          <w:spacing w:val="7"/>
          <w:sz w:val="31"/>
          <w:szCs w:val="31"/>
          <w:lang w:val="en-US" w:eastAsia="zh-CN"/>
          <w14:textFill>
            <w14:solidFill>
              <w14:schemeClr w14:val="tx1"/>
            </w14:solidFill>
          </w14:textFill>
        </w:rPr>
        <w:t>利用</w:t>
      </w:r>
      <w:r>
        <w:rPr>
          <w:rFonts w:hint="eastAsia" w:ascii="仿宋" w:hAnsi="仿宋" w:eastAsia="仿宋" w:cs="仿宋"/>
          <w:color w:val="000000" w:themeColor="text1"/>
          <w:spacing w:val="7"/>
          <w:sz w:val="31"/>
          <w:szCs w:val="31"/>
          <w:lang w:val="en-US" w:eastAsia="zh-CN"/>
          <w14:textFill>
            <w14:solidFill>
              <w14:schemeClr w14:val="tx1"/>
            </w14:solidFill>
          </w14:textFill>
        </w:rPr>
        <w:t>协议</w:t>
      </w:r>
      <w:r>
        <w:rPr>
          <w:rFonts w:hint="default" w:ascii="仿宋" w:hAnsi="仿宋" w:eastAsia="仿宋" w:cs="仿宋"/>
          <w:color w:val="000000" w:themeColor="text1"/>
          <w:spacing w:val="7"/>
          <w:sz w:val="31"/>
          <w:szCs w:val="31"/>
          <w:lang w:val="en-US" w:eastAsia="zh-CN"/>
          <w14:textFill>
            <w14:solidFill>
              <w14:schemeClr w14:val="tx1"/>
            </w14:solidFill>
          </w14:textFill>
        </w:rPr>
        <w:t>范本由</w:t>
      </w:r>
      <w:r>
        <w:rPr>
          <w:rFonts w:hint="eastAsia" w:ascii="仿宋" w:hAnsi="仿宋" w:eastAsia="仿宋" w:cs="仿宋"/>
          <w:color w:val="000000" w:themeColor="text1"/>
          <w:spacing w:val="7"/>
          <w:sz w:val="31"/>
          <w:szCs w:val="31"/>
          <w:lang w:val="en-US" w:eastAsia="zh-CN"/>
          <w14:textFill>
            <w14:solidFill>
              <w14:schemeClr w14:val="tx1"/>
            </w14:solidFill>
          </w14:textFill>
        </w:rPr>
        <w:t>自治区人民政府数据管理部门</w:t>
      </w:r>
      <w:r>
        <w:rPr>
          <w:rFonts w:hint="default" w:ascii="仿宋" w:hAnsi="仿宋" w:eastAsia="仿宋" w:cs="仿宋"/>
          <w:color w:val="000000" w:themeColor="text1"/>
          <w:spacing w:val="7"/>
          <w:sz w:val="31"/>
          <w:szCs w:val="31"/>
          <w:lang w:val="en-US" w:eastAsia="zh-CN"/>
          <w14:textFill>
            <w14:solidFill>
              <w14:schemeClr w14:val="tx1"/>
            </w14:solidFill>
          </w14:textFill>
        </w:rPr>
        <w:t>会同</w:t>
      </w:r>
      <w:r>
        <w:rPr>
          <w:rFonts w:hint="eastAsia" w:ascii="仿宋" w:hAnsi="仿宋" w:eastAsia="仿宋" w:cs="仿宋"/>
          <w:color w:val="000000" w:themeColor="text1"/>
          <w:spacing w:val="7"/>
          <w:sz w:val="31"/>
          <w:szCs w:val="31"/>
          <w:lang w:val="en-US" w:eastAsia="zh-CN"/>
          <w14:textFill>
            <w14:solidFill>
              <w14:schemeClr w14:val="tx1"/>
            </w14:solidFill>
          </w14:textFill>
        </w:rPr>
        <w:t>有关</w:t>
      </w:r>
      <w:r>
        <w:rPr>
          <w:rFonts w:hint="default" w:ascii="仿宋" w:hAnsi="仿宋" w:eastAsia="仿宋" w:cs="仿宋"/>
          <w:color w:val="000000" w:themeColor="text1"/>
          <w:spacing w:val="7"/>
          <w:sz w:val="31"/>
          <w:szCs w:val="31"/>
          <w:lang w:val="en-US" w:eastAsia="zh-CN"/>
          <w14:textFill>
            <w14:solidFill>
              <w14:schemeClr w14:val="tx1"/>
            </w14:solidFill>
          </w14:textFill>
        </w:rPr>
        <w:t>部门制定。</w:t>
      </w:r>
      <w:r>
        <w:rPr>
          <w:rFonts w:hint="eastAsia" w:ascii="仿宋" w:hAnsi="仿宋" w:eastAsia="仿宋" w:cs="仿宋"/>
          <w:color w:val="000000" w:themeColor="text1"/>
          <w:spacing w:val="7"/>
          <w:sz w:val="31"/>
          <w:szCs w:val="31"/>
          <w:lang w:val="en-US" w:eastAsia="zh-CN"/>
          <w14:textFill>
            <w14:solidFill>
              <w14:schemeClr w14:val="tx1"/>
            </w14:solidFill>
          </w14:textFill>
        </w:rPr>
        <w:t>公共</w:t>
      </w:r>
      <w:r>
        <w:rPr>
          <w:rFonts w:hint="default" w:ascii="仿宋" w:hAnsi="仿宋" w:eastAsia="仿宋" w:cs="仿宋"/>
          <w:color w:val="000000" w:themeColor="text1"/>
          <w:spacing w:val="7"/>
          <w:sz w:val="31"/>
          <w:szCs w:val="31"/>
          <w:lang w:val="en-US" w:eastAsia="zh-CN"/>
          <w14:textFill>
            <w14:solidFill>
              <w14:schemeClr w14:val="tx1"/>
            </w14:solidFill>
          </w14:textFill>
        </w:rPr>
        <w:t>数据</w:t>
      </w:r>
      <w:r>
        <w:rPr>
          <w:rFonts w:hint="eastAsia" w:ascii="仿宋" w:hAnsi="仿宋" w:eastAsia="仿宋" w:cs="仿宋"/>
          <w:color w:val="000000" w:themeColor="text1"/>
          <w:spacing w:val="7"/>
          <w:sz w:val="31"/>
          <w:szCs w:val="31"/>
          <w:lang w:val="en-US" w:eastAsia="zh-CN"/>
          <w14:textFill>
            <w14:solidFill>
              <w14:schemeClr w14:val="tx1"/>
            </w14:solidFill>
          </w14:textFill>
        </w:rPr>
        <w:t>资源开放</w:t>
      </w:r>
      <w:r>
        <w:rPr>
          <w:rFonts w:hint="default" w:ascii="仿宋" w:hAnsi="仿宋" w:eastAsia="仿宋" w:cs="仿宋"/>
          <w:color w:val="000000" w:themeColor="text1"/>
          <w:spacing w:val="7"/>
          <w:sz w:val="31"/>
          <w:szCs w:val="31"/>
          <w:lang w:val="en-US" w:eastAsia="zh-CN"/>
          <w14:textFill>
            <w14:solidFill>
              <w14:schemeClr w14:val="tx1"/>
            </w14:solidFill>
          </w14:textFill>
        </w:rPr>
        <w:t>利用</w:t>
      </w:r>
      <w:r>
        <w:rPr>
          <w:rFonts w:hint="eastAsia" w:ascii="仿宋" w:hAnsi="仿宋" w:eastAsia="仿宋" w:cs="仿宋"/>
          <w:color w:val="000000" w:themeColor="text1"/>
          <w:spacing w:val="7"/>
          <w:sz w:val="31"/>
          <w:szCs w:val="31"/>
          <w:lang w:val="en-US" w:eastAsia="zh-CN"/>
          <w14:textFill>
            <w14:solidFill>
              <w14:schemeClr w14:val="tx1"/>
            </w14:solidFill>
          </w14:textFill>
        </w:rPr>
        <w:t>协议</w:t>
      </w:r>
      <w:r>
        <w:rPr>
          <w:rFonts w:hint="default" w:ascii="仿宋" w:hAnsi="仿宋" w:eastAsia="仿宋" w:cs="仿宋"/>
          <w:color w:val="000000" w:themeColor="text1"/>
          <w:spacing w:val="7"/>
          <w:sz w:val="31"/>
          <w:szCs w:val="31"/>
          <w:lang w:val="en-US" w:eastAsia="zh-CN"/>
          <w14:textFill>
            <w14:solidFill>
              <w14:schemeClr w14:val="tx1"/>
            </w14:solidFill>
          </w14:textFill>
        </w:rPr>
        <w:t>应当明确拟使用数据的清单、用途、应用场景、安全保障措施、使用期限以及期满后</w:t>
      </w:r>
      <w:r>
        <w:rPr>
          <w:rFonts w:hint="eastAsia" w:ascii="仿宋" w:hAnsi="仿宋" w:eastAsia="仿宋" w:cs="仿宋"/>
          <w:color w:val="000000" w:themeColor="text1"/>
          <w:spacing w:val="7"/>
          <w:sz w:val="31"/>
          <w:szCs w:val="31"/>
          <w:lang w:val="en-US" w:eastAsia="zh-CN"/>
          <w14:textFill>
            <w14:solidFill>
              <w14:schemeClr w14:val="tx1"/>
            </w14:solidFill>
          </w14:textFill>
        </w:rPr>
        <w:t>公共</w:t>
      </w:r>
      <w:r>
        <w:rPr>
          <w:rFonts w:hint="default" w:ascii="仿宋" w:hAnsi="仿宋" w:eastAsia="仿宋" w:cs="仿宋"/>
          <w:color w:val="000000" w:themeColor="text1"/>
          <w:spacing w:val="7"/>
          <w:sz w:val="31"/>
          <w:szCs w:val="31"/>
          <w:lang w:val="en-US" w:eastAsia="zh-CN"/>
          <w14:textFill>
            <w14:solidFill>
              <w14:schemeClr w14:val="tx1"/>
            </w14:solidFill>
          </w14:textFill>
        </w:rPr>
        <w:t>数据</w:t>
      </w:r>
      <w:r>
        <w:rPr>
          <w:rFonts w:hint="eastAsia" w:ascii="仿宋" w:hAnsi="仿宋" w:eastAsia="仿宋" w:cs="仿宋"/>
          <w:color w:val="000000" w:themeColor="text1"/>
          <w:spacing w:val="7"/>
          <w:sz w:val="31"/>
          <w:szCs w:val="31"/>
          <w:lang w:val="en-US" w:eastAsia="zh-CN"/>
          <w14:textFill>
            <w14:solidFill>
              <w14:schemeClr w14:val="tx1"/>
            </w14:solidFill>
          </w14:textFill>
        </w:rPr>
        <w:t>资源</w:t>
      </w:r>
      <w:r>
        <w:rPr>
          <w:rFonts w:hint="default" w:ascii="仿宋" w:hAnsi="仿宋" w:eastAsia="仿宋" w:cs="仿宋"/>
          <w:color w:val="000000" w:themeColor="text1"/>
          <w:spacing w:val="7"/>
          <w:sz w:val="31"/>
          <w:szCs w:val="31"/>
          <w:lang w:val="en-US" w:eastAsia="zh-CN"/>
          <w14:textFill>
            <w14:solidFill>
              <w14:schemeClr w14:val="tx1"/>
            </w14:solidFill>
          </w14:textFill>
        </w:rPr>
        <w:t>的处置、数据使用情况反馈等内容。</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二十八</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自治区建立健全公共数据资源授权运营机制。</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公共数据运营机构由自治区人民政府按照国家和自治区有关规定确定，公共数据资源授权运营由自治区人民政府数据管理部门及其相关行业主管部门按照职责组织实施。</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自治区人民政府数据管理部门应当会同有关部门对公共数据运营机构运营情况实施监督管理。</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楷体" w:hAnsi="楷体" w:eastAsia="楷体" w:cs="楷体"/>
          <w:b/>
          <w:bCs/>
          <w:color w:val="000000" w:themeColor="text1"/>
          <w:spacing w:val="2"/>
          <w:sz w:val="31"/>
          <w:szCs w:val="31"/>
          <w:lang w:val="en-US" w:eastAsia="zh-CN"/>
          <w14:textFill>
            <w14:solidFill>
              <w14:schemeClr w14:val="tx1"/>
            </w14:solidFill>
          </w14:textFill>
        </w:rPr>
        <w:t>第二十九</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公共数据运营机构应当按照国家和自治区有关规定在授权范围内开展业务，定期向社会披露公共数据资源使用情况。符合申请条件的市场主体应在授权范围内对公共数据资源进行再开发。</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公共数据产品和服务用于公共治理、公益事业的，实行有条件无偿使用；用于行业发展、产业发展的，可收取公共数据运营服务费。公共数据运营服务费实行政府指导价管理。</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自治区发展改革部门应当制定公共数据运营服务费收费标准，确有必要的，可以授权设区的市级人民政府制定。</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楷体" w:hAnsi="楷体" w:eastAsia="楷体" w:cs="楷体"/>
          <w:b/>
          <w:bCs/>
          <w:color w:val="000000" w:themeColor="text1"/>
          <w:spacing w:val="2"/>
          <w:sz w:val="31"/>
          <w:szCs w:val="31"/>
          <w:lang w:val="en-US" w:eastAsia="zh-CN"/>
          <w14:textFill>
            <w14:solidFill>
              <w14:schemeClr w14:val="tx1"/>
            </w14:solidFill>
          </w14:textFill>
        </w:rPr>
        <w:t>第三十</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公共数据实施机构、运营机构应当履行数据安全主体责任，加强内控管理、技术管理和人员管理。公共数据实施机构应当监督和指导运营机构对授权范围内的公共数据资源进行脱密、脱敏处理，严防数据加工、处理、运营、服务等环节发生数据安全风险。</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公共数据运营机构不得直接或间接参与已交付公共数据产品和服务再开发，不得通过与其他市场主体达成垄断协议或者滥用市场支配地位等实施垄断行为，不得利用数据、算法、技术、资本优势等从事不正当竞争。</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三十一</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自治区</w:t>
      </w:r>
      <w:r>
        <w:rPr>
          <w:rFonts w:hint="eastAsia" w:ascii="仿宋" w:hAnsi="仿宋" w:eastAsia="仿宋" w:cs="仿宋"/>
          <w:color w:val="000000" w:themeColor="text1"/>
          <w:spacing w:val="7"/>
          <w:sz w:val="31"/>
          <w:szCs w:val="31"/>
          <w:u w:val="none"/>
          <w:lang w:val="en-US" w:eastAsia="zh-CN"/>
          <w14:textFill>
            <w14:solidFill>
              <w14:schemeClr w14:val="tx1"/>
            </w14:solidFill>
          </w14:textFill>
        </w:rPr>
        <w:t>人民政府数据</w:t>
      </w:r>
      <w:r>
        <w:rPr>
          <w:rFonts w:hint="eastAsia" w:ascii="仿宋" w:hAnsi="仿宋" w:eastAsia="仿宋" w:cs="仿宋"/>
          <w:color w:val="000000" w:themeColor="text1"/>
          <w:spacing w:val="7"/>
          <w:sz w:val="31"/>
          <w:szCs w:val="31"/>
          <w:lang w:val="en-US" w:eastAsia="zh-CN"/>
          <w14:textFill>
            <w14:solidFill>
              <w14:schemeClr w14:val="tx1"/>
            </w14:solidFill>
          </w14:textFill>
        </w:rPr>
        <w:t>管理部门应当会同有关部门建立企业数据融合开发机制，鼓励和支持各类市场主体将其依法收集、产生、持有的数据和公共数据进行整合，融合开发数据产品和服务。</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鼓励产业链上下游企业间数据共享，支持行业龙头企业、互联网平台企业与中小企业双向公平授权，建立互利共赢的合作机制。鼓励面向中小企业提供公益性数据服务，降低中小企业治数用数成本。</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三十二</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鼓励个人汇聚其来源于多个途径的本人个人信息相关数据，通过自治区数据平台向相关市场主体授权的方式参与数据创新应用，发挥个人信息相关数据的价值。</w:t>
      </w:r>
    </w:p>
    <w:p>
      <w:pPr>
        <w:spacing w:line="360" w:lineRule="auto"/>
        <w:ind w:left="0" w:leftChars="0" w:right="0" w:rightChars="0" w:firstLine="0" w:firstLineChars="0"/>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第四章 数据交易</w:t>
      </w:r>
    </w:p>
    <w:p>
      <w:pPr>
        <w:spacing w:line="360" w:lineRule="auto"/>
        <w:ind w:firstLine="630" w:firstLineChars="200"/>
        <w:rPr>
          <w:rFonts w:hint="eastAsia" w:ascii="楷体" w:hAnsi="楷体" w:eastAsia="楷体" w:cs="楷体"/>
          <w:b/>
          <w:bCs/>
          <w:color w:val="000000" w:themeColor="text1"/>
          <w:spacing w:val="2"/>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三十三</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自治区人民政府应当按照国家有关规定深化数据要素市场化配置改革，培育公平、开放、有序、诚信、安全的数据要素市场，建立多层次的市场交易体系。</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鼓励、支持自然人、法人和非法人组织参与数据要素市场建设，依法依规采取开放、合作、交易等方式发挥数据资源效益。</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三十四</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自治区人民政府数据管理部门会同有关部门建立数据交易管理制度，规范数据交易行为，建立资产评估、登记结算、交易撮合、争议解决等数据要素市场运营制度。</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自治区人民政府数据管理部门应当会同市场监督管理等部门建立健全数据纠纷多元化解决机制，有效化解数据交易活动中的争议纠纷。</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三十五</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自治区依法保护数据生产、流通、使用过程中各参与方享有的合法权利，建立数据资源持有权、数据加工使用权、数据产品经营权等分置的产权运行机制。</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自然人、法人和非法人组织对数据权益进行约定和分配时，应当遵循合法、自愿、公平、诚信的原则。</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自然人、法人和非法人组织对通过合法途径收集、获取的数据，依法享有数据持有权益，可以自主管控其持有的数据。</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自然人、法人和非法人组织对合法持有的数据，依法或者依约定享有数据使用权益，包括对数据进行清洗、变换、归集、标注、训练、分析等，合法持有在此过程中所形成的衍生数据。</w:t>
      </w:r>
    </w:p>
    <w:p>
      <w:pPr>
        <w:spacing w:line="360" w:lineRule="auto"/>
        <w:ind w:firstLine="648" w:firstLineChars="200"/>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自然人、法人和非法人组织对合法持有的数据以及通过加工、分析等合法形成的数据产品和服务，依法或者依约定享有数据经营权益，可以对其进行交易。</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三十六</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数据处理者对其在自身或者共同参与的生产经营活动中，不违反法律、法规和合同约定前提下收集、产生的数据，享有持有、使用和经营权益，有权获取或者复制转移由其促成产生的数据。</w:t>
      </w:r>
    </w:p>
    <w:p>
      <w:pPr>
        <w:spacing w:line="360" w:lineRule="auto"/>
        <w:ind w:firstLine="648" w:firstLineChars="200"/>
        <w:rPr>
          <w:rFonts w:hint="eastAsia" w:ascii="仿宋" w:hAnsi="仿宋" w:eastAsia="仿宋" w:cs="仿宋"/>
          <w:color w:val="000000" w:themeColor="text1"/>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数据处理者委托他人处理数据的，受托方对委托处理的原始数据、过程数据、结果数据等，均不享有数据持有、使用、经营权益。法律、行政法规另有规定或者合同另有约定的除外。</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三十七</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支持企业依法依规加工数据，形成数据产品和服务，开展数据交易，促进数据高效流通使用。</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企业</w:t>
      </w:r>
      <w:r>
        <w:rPr>
          <w:rFonts w:hint="default" w:ascii="仿宋" w:hAnsi="仿宋" w:eastAsia="仿宋" w:cs="仿宋"/>
          <w:color w:val="000000" w:themeColor="text1"/>
          <w:spacing w:val="7"/>
          <w:sz w:val="31"/>
          <w:szCs w:val="31"/>
          <w:lang w:val="en-US" w:eastAsia="zh-CN"/>
          <w14:textFill>
            <w14:solidFill>
              <w14:schemeClr w14:val="tx1"/>
            </w14:solidFill>
          </w14:textFill>
        </w:rPr>
        <w:t>对其合法处理形成的数据产品和服务，可以</w:t>
      </w:r>
      <w:r>
        <w:rPr>
          <w:rFonts w:hint="eastAsia" w:ascii="仿宋" w:hAnsi="仿宋" w:eastAsia="仿宋" w:cs="仿宋"/>
          <w:color w:val="000000" w:themeColor="text1"/>
          <w:spacing w:val="7"/>
          <w:sz w:val="31"/>
          <w:szCs w:val="31"/>
          <w:lang w:val="en-US" w:eastAsia="zh-CN"/>
          <w14:textFill>
            <w14:solidFill>
              <w14:schemeClr w14:val="tx1"/>
            </w14:solidFill>
          </w14:textFill>
        </w:rPr>
        <w:t>参照</w:t>
      </w:r>
      <w:r>
        <w:rPr>
          <w:rFonts w:hint="default" w:ascii="仿宋" w:hAnsi="仿宋" w:eastAsia="仿宋" w:cs="仿宋"/>
          <w:color w:val="000000" w:themeColor="text1"/>
          <w:spacing w:val="7"/>
          <w:sz w:val="31"/>
          <w:szCs w:val="31"/>
          <w:lang w:val="en-US" w:eastAsia="zh-CN"/>
          <w14:textFill>
            <w14:solidFill>
              <w14:schemeClr w14:val="tx1"/>
            </w14:solidFill>
          </w14:textFill>
        </w:rPr>
        <w:t>公共数据运营服务费收费标准和市场</w:t>
      </w:r>
      <w:r>
        <w:rPr>
          <w:rFonts w:hint="eastAsia" w:ascii="仿宋" w:hAnsi="仿宋" w:eastAsia="仿宋" w:cs="仿宋"/>
          <w:color w:val="000000" w:themeColor="text1"/>
          <w:spacing w:val="7"/>
          <w:sz w:val="31"/>
          <w:szCs w:val="31"/>
          <w:lang w:val="en-US" w:eastAsia="zh-CN"/>
          <w14:textFill>
            <w14:solidFill>
              <w14:schemeClr w14:val="tx1"/>
            </w14:solidFill>
          </w14:textFill>
        </w:rPr>
        <w:t>供需</w:t>
      </w:r>
      <w:r>
        <w:rPr>
          <w:rFonts w:hint="default" w:ascii="仿宋" w:hAnsi="仿宋" w:eastAsia="仿宋" w:cs="仿宋"/>
          <w:color w:val="000000" w:themeColor="text1"/>
          <w:spacing w:val="7"/>
          <w:sz w:val="31"/>
          <w:szCs w:val="31"/>
          <w:lang w:val="en-US" w:eastAsia="zh-CN"/>
          <w14:textFill>
            <w14:solidFill>
              <w14:schemeClr w14:val="tx1"/>
            </w14:solidFill>
          </w14:textFill>
        </w:rPr>
        <w:t>关系自主定价。</w:t>
      </w:r>
    </w:p>
    <w:p>
      <w:pPr>
        <w:spacing w:line="360" w:lineRule="auto"/>
        <w:ind w:firstLine="630" w:firstLineChars="200"/>
        <w:rPr>
          <w:rFonts w:hint="default"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三十八条 </w:t>
      </w:r>
      <w:r>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t>自治区人民政府数据管理部门应当会同有关部门推动依法设立数据交易场所，鼓励和引导企业在数据交易场所开展数据交易活动。</w:t>
      </w:r>
    </w:p>
    <w:p>
      <w:pPr>
        <w:spacing w:line="360" w:lineRule="auto"/>
        <w:ind w:firstLine="648" w:firstLineChars="200"/>
        <w:rPr>
          <w:rFonts w:hint="default" w:ascii="仿宋" w:hAnsi="仿宋" w:eastAsia="仿宋" w:cs="仿宋"/>
          <w:color w:val="000000" w:themeColor="text1"/>
          <w:spacing w:val="7"/>
          <w:sz w:val="31"/>
          <w:szCs w:val="31"/>
          <w:lang w:val="en-US" w:eastAsia="zh-CN"/>
          <w14:textFill>
            <w14:solidFill>
              <w14:schemeClr w14:val="tx1"/>
            </w14:solidFill>
          </w14:textFill>
        </w:rPr>
      </w:pPr>
      <w:r>
        <w:rPr>
          <w:rFonts w:hint="default" w:ascii="仿宋" w:hAnsi="仿宋" w:eastAsia="仿宋" w:cs="仿宋"/>
          <w:color w:val="000000" w:themeColor="text1"/>
          <w:spacing w:val="7"/>
          <w:sz w:val="31"/>
          <w:szCs w:val="31"/>
          <w:lang w:val="en-US" w:eastAsia="zh-CN"/>
          <w14:textFill>
            <w14:solidFill>
              <w14:schemeClr w14:val="tx1"/>
            </w14:solidFill>
          </w14:textFill>
        </w:rPr>
        <w:t>数据交易场所应当制定交易服务流程、内部管理制度以及机构自律规则等，采取有效措施保护个人隐私、个人信息、商业秘密、保密商务信息，建立规范透明、安全可控、可追溯的数据交易服务环境。</w:t>
      </w:r>
    </w:p>
    <w:p>
      <w:pPr>
        <w:spacing w:line="360" w:lineRule="auto"/>
        <w:ind w:firstLine="648" w:firstLineChars="200"/>
        <w:rPr>
          <w:rFonts w:hint="default"/>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pacing w:val="7"/>
          <w:sz w:val="31"/>
          <w:szCs w:val="31"/>
          <w:lang w:val="en-US" w:eastAsia="zh-CN" w:bidi="ar-SA"/>
          <w14:textFill>
            <w14:solidFill>
              <w14:schemeClr w14:val="tx1"/>
            </w14:solidFill>
          </w14:textFill>
        </w:rPr>
        <w:t>县级以上人民政府数据管理部门应当会同公安、网信、市场监督管理等相关部门加强数据交易场所外数据交易的监督管理。</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三十九</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自然人、法人和非法人组织应当依法开展数据交易活动，遵循自愿、平等、公平和诚实守信原则，遵守法律法规和商业道德，履行数据安全保护、个人信息保护等义务，有下列情形之一的，不得交易：</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（一）危害国家安全、社会公共利益的；</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（二）侵害他人合法权益、个人隐私的；</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（三）未经合法权利人授权同意的；</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（四）法律、法规禁止交易的其他情形。</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四十</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自治区人民政府数据管理部门负责统筹全区数据要素市场社会信用体系建设，制定统一信用评价标准、信息共享和联合奖惩机制，依法对相关主体实施信用监管。</w:t>
      </w:r>
    </w:p>
    <w:p>
      <w:pPr>
        <w:spacing w:line="360" w:lineRule="auto"/>
        <w:ind w:left="0" w:leftChars="0" w:right="0" w:rightChars="0" w:firstLine="0" w:firstLineChars="0"/>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第五章 数据产业发展</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四十一</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t>自治区人民政府应当制定数据产业发展规划，培育发展数据汇聚处理、流通交易、安全治理等相关产业，强化要素保障，推动构建大中小企业融通发展、产业链上下游协同创新的数据产业生态体系</w:t>
      </w:r>
      <w:r>
        <w:rPr>
          <w:rFonts w:hint="eastAsia" w:ascii="仿宋" w:hAnsi="仿宋" w:eastAsia="仿宋" w:cs="仿宋"/>
          <w:color w:val="000000" w:themeColor="text1"/>
          <w:spacing w:val="7"/>
          <w:sz w:val="31"/>
          <w:szCs w:val="31"/>
          <w:lang w:val="en-US" w:eastAsia="zh-CN"/>
          <w14:textFill>
            <w14:solidFill>
              <w14:schemeClr w14:val="tx1"/>
            </w14:solidFill>
          </w14:textFill>
        </w:rPr>
        <w:t>。</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四十二</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鼓励有条件的地方因地制宜建设数据产业集聚区，引导行业龙头企业、互联网平台企业带动数据产业高质量发展。</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四十三</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县级以上人民政府应当立足产业基础和资源禀赋，培育和引进数据资源、技术、服务、应用、安全、基础设施等企业，构建数据产业生态。</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鼓励企业、个人发起设立或者参与组建数据企业，创新数据业务与商业模式，提供多元化数据产品和服务。</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四十四</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u w:val="none"/>
          <w:lang w:val="en-US" w:eastAsia="zh-CN"/>
          <w14:textFill>
            <w14:solidFill>
              <w14:schemeClr w14:val="tx1"/>
            </w14:solidFill>
          </w14:textFill>
        </w:rPr>
        <w:t>县级以上人民政府应当加强政策引导，</w:t>
      </w:r>
      <w:r>
        <w:rPr>
          <w:rFonts w:hint="default" w:ascii="仿宋" w:hAnsi="仿宋" w:eastAsia="仿宋" w:cs="仿宋"/>
          <w:color w:val="000000" w:themeColor="text1"/>
          <w:spacing w:val="7"/>
          <w:sz w:val="31"/>
          <w:szCs w:val="31"/>
          <w:u w:val="none"/>
          <w:lang w:val="en-US" w:eastAsia="zh-CN"/>
          <w14:textFill>
            <w14:solidFill>
              <w14:schemeClr w14:val="tx1"/>
            </w14:solidFill>
          </w14:textFill>
        </w:rPr>
        <w:t>培育数据</w:t>
      </w:r>
      <w:r>
        <w:rPr>
          <w:rFonts w:hint="eastAsia" w:ascii="仿宋" w:hAnsi="仿宋" w:eastAsia="仿宋" w:cs="仿宋"/>
          <w:color w:val="000000" w:themeColor="text1"/>
          <w:spacing w:val="7"/>
          <w:sz w:val="31"/>
          <w:szCs w:val="31"/>
          <w:u w:val="none"/>
          <w:lang w:val="en-US" w:eastAsia="zh-CN"/>
          <w14:textFill>
            <w14:solidFill>
              <w14:schemeClr w14:val="tx1"/>
            </w14:solidFill>
          </w14:textFill>
        </w:rPr>
        <w:t>领域</w:t>
      </w:r>
      <w:r>
        <w:rPr>
          <w:rFonts w:hint="default" w:ascii="仿宋" w:hAnsi="仿宋" w:eastAsia="仿宋" w:cs="仿宋"/>
          <w:color w:val="000000" w:themeColor="text1"/>
          <w:spacing w:val="7"/>
          <w:sz w:val="31"/>
          <w:szCs w:val="31"/>
          <w:u w:val="none"/>
          <w:lang w:val="en-US" w:eastAsia="zh-CN"/>
          <w14:textFill>
            <w14:solidFill>
              <w14:schemeClr w14:val="tx1"/>
            </w14:solidFill>
          </w14:textFill>
        </w:rPr>
        <w:t>专业</w:t>
      </w:r>
      <w:r>
        <w:rPr>
          <w:rFonts w:hint="default" w:ascii="仿宋" w:hAnsi="仿宋" w:eastAsia="仿宋" w:cs="仿宋"/>
          <w:color w:val="000000" w:themeColor="text1"/>
          <w:spacing w:val="7"/>
          <w:sz w:val="31"/>
          <w:szCs w:val="31"/>
          <w:lang w:val="en-US" w:eastAsia="zh-CN"/>
          <w14:textFill>
            <w14:solidFill>
              <w14:schemeClr w14:val="tx1"/>
            </w14:solidFill>
          </w14:textFill>
        </w:rPr>
        <w:t>服务机构，提供数据集成、数据经纪、合规认证、安全审计、数据公证、数据保险、数据托管、质量评估、资产评估、风险评估、人才培训、争议仲裁等服务。</w:t>
      </w:r>
    </w:p>
    <w:p>
      <w:pPr>
        <w:spacing w:line="360" w:lineRule="auto"/>
        <w:ind w:firstLine="630" w:firstLineChars="200"/>
        <w:rPr>
          <w:rFonts w:hint="default" w:ascii="楷体" w:hAnsi="楷体" w:eastAsia="楷体" w:cs="楷体"/>
          <w:b/>
          <w:bCs/>
          <w:color w:val="000000" w:themeColor="text1"/>
          <w:spacing w:val="2"/>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四十五</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自治区人民政府及其有关部门应当推动数据领域科学实验室、技术创新中心、企业技术中心等数据领域科技创新平台建设，支持企业与高校、科研院所等单位建立创新联合体，优化产学研协作机制，合作开展数据领域关键技术攻关，构建科技创新生态体系。</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四十六</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县级以上人民政府及其有关部门应当围绕现代煤化工、新型材料、清洁能源、特色农牧业、文化旅游等自治区特色优势产业，引导和支持企业建设高质量数据集，促进数据多场景应用、多主体复用。</w:t>
      </w:r>
    </w:p>
    <w:p>
      <w:pPr>
        <w:spacing w:line="360" w:lineRule="auto"/>
        <w:ind w:firstLine="648" w:firstLineChars="200"/>
        <w:rPr>
          <w:rFonts w:hint="eastAsia" w:ascii="仿宋" w:hAnsi="仿宋" w:cs="仿宋" w:eastAsiaTheme="minorEastAsia"/>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各行业主管部门应当根据自治区</w:t>
      </w:r>
      <w:r>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t>数据产业发展规划</w:t>
      </w:r>
      <w:r>
        <w:rPr>
          <w:rFonts w:hint="eastAsia" w:ascii="仿宋" w:hAnsi="仿宋" w:eastAsia="仿宋" w:cs="仿宋"/>
          <w:color w:val="000000" w:themeColor="text1"/>
          <w:spacing w:val="7"/>
          <w:sz w:val="31"/>
          <w:szCs w:val="31"/>
          <w:lang w:val="en-US" w:eastAsia="zh-CN"/>
          <w14:textFill>
            <w14:solidFill>
              <w14:schemeClr w14:val="tx1"/>
            </w14:solidFill>
          </w14:textFill>
        </w:rPr>
        <w:t>及行业发展需要，提出数据要素应用项目推荐目录和应用场景需求清单，培育数据应用的新模式、新产品和新业态</w:t>
      </w:r>
      <w:r>
        <w:rPr>
          <w:rFonts w:hint="eastAsia"/>
          <w:color w:val="000000" w:themeColor="text1"/>
          <w:lang w:eastAsia="zh-CN"/>
          <w14:textFill>
            <w14:solidFill>
              <w14:schemeClr w14:val="tx1"/>
            </w14:solidFill>
          </w14:textFill>
        </w:rPr>
        <w:t>。</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四十七</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设区的市级以上人民政府应当加快推动数据汇聚治理、流通利用、安全防护等数据基础设施建设，为数据共享、开放、交易提供安全可靠环境。</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四十八</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自治区探索建立数据出境安全评估绿色通道，为企业开展数据跨境流通业务合作提供便利。</w:t>
      </w:r>
    </w:p>
    <w:p>
      <w:pPr>
        <w:spacing w:line="360" w:lineRule="auto"/>
        <w:ind w:firstLine="648" w:firstLineChars="200"/>
        <w:rPr>
          <w:rFonts w:hint="default" w:ascii="仿宋" w:hAnsi="仿宋" w:eastAsia="仿宋" w:cs="仿宋"/>
          <w:color w:val="000000" w:themeColor="text1"/>
          <w:spacing w:val="7"/>
          <w:sz w:val="31"/>
          <w:szCs w:val="31"/>
          <w:lang w:val="en-US" w:eastAsia="zh-CN"/>
          <w14:textFill>
            <w14:solidFill>
              <w14:schemeClr w14:val="tx1"/>
            </w14:solidFill>
          </w14:textFill>
        </w:rPr>
      </w:pPr>
      <w:r>
        <w:rPr>
          <w:rFonts w:hint="default" w:ascii="仿宋" w:hAnsi="仿宋" w:eastAsia="仿宋" w:cs="仿宋"/>
          <w:color w:val="000000" w:themeColor="text1"/>
          <w:spacing w:val="7"/>
          <w:sz w:val="31"/>
          <w:szCs w:val="31"/>
          <w:lang w:val="en-US" w:eastAsia="zh-CN"/>
          <w14:textFill>
            <w14:solidFill>
              <w14:schemeClr w14:val="tx1"/>
            </w14:solidFill>
          </w14:textFill>
        </w:rPr>
        <w:t>鼓励跨国企业依托</w:t>
      </w:r>
      <w:r>
        <w:rPr>
          <w:rFonts w:hint="eastAsia" w:ascii="仿宋" w:hAnsi="仿宋" w:eastAsia="仿宋" w:cs="仿宋"/>
          <w:color w:val="000000" w:themeColor="text1"/>
          <w:spacing w:val="7"/>
          <w:sz w:val="31"/>
          <w:szCs w:val="31"/>
          <w:lang w:val="en-US" w:eastAsia="zh-CN"/>
          <w14:textFill>
            <w14:solidFill>
              <w14:schemeClr w14:val="tx1"/>
            </w14:solidFill>
          </w14:textFill>
        </w:rPr>
        <w:t>自治区数据</w:t>
      </w:r>
      <w:r>
        <w:rPr>
          <w:rFonts w:hint="default" w:ascii="仿宋" w:hAnsi="仿宋" w:eastAsia="仿宋" w:cs="仿宋"/>
          <w:color w:val="000000" w:themeColor="text1"/>
          <w:spacing w:val="7"/>
          <w:sz w:val="31"/>
          <w:szCs w:val="31"/>
          <w:lang w:val="en-US" w:eastAsia="zh-CN"/>
          <w14:textFill>
            <w14:solidFill>
              <w14:schemeClr w14:val="tx1"/>
            </w14:solidFill>
          </w14:textFill>
        </w:rPr>
        <w:t>基础设施建设数据运营平台。</w:t>
      </w:r>
    </w:p>
    <w:p>
      <w:pPr>
        <w:spacing w:line="360" w:lineRule="auto"/>
        <w:ind w:left="0" w:leftChars="0" w:right="0" w:rightChars="0" w:firstLine="0" w:firstLineChars="0"/>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第六章 数据安全</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四十九</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自治区应发挥数据安全工作协调机制作用，加强全区数据安全管理，健全数据安全治理体系，强化数据安全技术支撑，将安全贯穿数据汇聚治理、开发开放和流通利用全过程，以数据安全保障数据开发利用和产业发展。</w:t>
      </w:r>
    </w:p>
    <w:p>
      <w:pPr>
        <w:spacing w:line="360" w:lineRule="auto"/>
        <w:ind w:firstLine="648" w:firstLineChars="200"/>
        <w:rPr>
          <w:rFonts w:hint="default"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县级以上</w:t>
      </w:r>
      <w:r>
        <w:rPr>
          <w:rFonts w:hint="default" w:ascii="仿宋" w:hAnsi="仿宋" w:eastAsia="仿宋" w:cs="仿宋"/>
          <w:color w:val="000000" w:themeColor="text1"/>
          <w:spacing w:val="7"/>
          <w:sz w:val="31"/>
          <w:szCs w:val="31"/>
          <w:lang w:val="en-US" w:eastAsia="zh-CN"/>
          <w14:textFill>
            <w14:solidFill>
              <w14:schemeClr w14:val="tx1"/>
            </w14:solidFill>
          </w14:textFill>
        </w:rPr>
        <w:t>网信部门依照有关法律法规的规定，负责统筹协调网络数据安全、个人信息保护和相关监管工作。</w:t>
      </w:r>
    </w:p>
    <w:p>
      <w:pPr>
        <w:spacing w:line="360" w:lineRule="auto"/>
        <w:ind w:firstLine="648" w:firstLineChars="200"/>
        <w:rPr>
          <w:rFonts w:hint="default" w:ascii="仿宋" w:hAnsi="仿宋" w:eastAsia="仿宋" w:cs="仿宋"/>
          <w:color w:val="000000" w:themeColor="text1"/>
          <w:spacing w:val="7"/>
          <w:sz w:val="31"/>
          <w:szCs w:val="31"/>
          <w:lang w:val="en-US" w:eastAsia="zh-CN"/>
          <w14:textFill>
            <w14:solidFill>
              <w14:schemeClr w14:val="tx1"/>
            </w14:solidFill>
          </w14:textFill>
        </w:rPr>
      </w:pPr>
      <w:r>
        <w:rPr>
          <w:rFonts w:hint="default" w:ascii="仿宋" w:hAnsi="仿宋" w:eastAsia="仿宋" w:cs="仿宋"/>
          <w:color w:val="000000" w:themeColor="text1"/>
          <w:spacing w:val="7"/>
          <w:sz w:val="31"/>
          <w:szCs w:val="31"/>
          <w:lang w:val="en-US" w:eastAsia="zh-CN"/>
          <w14:textFill>
            <w14:solidFill>
              <w14:schemeClr w14:val="tx1"/>
            </w14:solidFill>
          </w14:textFill>
        </w:rPr>
        <w:t>县级以上</w:t>
      </w:r>
      <w:r>
        <w:rPr>
          <w:rFonts w:hint="eastAsia" w:ascii="仿宋" w:hAnsi="仿宋" w:eastAsia="仿宋" w:cs="仿宋"/>
          <w:color w:val="000000" w:themeColor="text1"/>
          <w:spacing w:val="7"/>
          <w:sz w:val="31"/>
          <w:szCs w:val="31"/>
          <w:lang w:val="en-US" w:eastAsia="zh-CN"/>
          <w14:textFill>
            <w14:solidFill>
              <w14:schemeClr w14:val="tx1"/>
            </w14:solidFill>
          </w14:textFill>
        </w:rPr>
        <w:t>人民政府</w:t>
      </w:r>
      <w:r>
        <w:rPr>
          <w:rFonts w:hint="default" w:ascii="仿宋" w:hAnsi="仿宋" w:eastAsia="仿宋" w:cs="仿宋"/>
          <w:color w:val="000000" w:themeColor="text1"/>
          <w:spacing w:val="7"/>
          <w:sz w:val="31"/>
          <w:szCs w:val="31"/>
          <w:lang w:val="en-US" w:eastAsia="zh-CN"/>
          <w14:textFill>
            <w14:solidFill>
              <w14:schemeClr w14:val="tx1"/>
            </w14:solidFill>
          </w14:textFill>
        </w:rPr>
        <w:t>公安机关负责网络安全等级保护工作和关键信息基础设施安全保护工作的监督管理</w:t>
      </w:r>
      <w:r>
        <w:rPr>
          <w:rFonts w:hint="eastAsia" w:ascii="仿宋" w:hAnsi="仿宋" w:eastAsia="仿宋" w:cs="仿宋"/>
          <w:color w:val="000000" w:themeColor="text1"/>
          <w:spacing w:val="7"/>
          <w:sz w:val="31"/>
          <w:szCs w:val="31"/>
          <w:lang w:val="en-US" w:eastAsia="zh-CN"/>
          <w14:textFill>
            <w14:solidFill>
              <w14:schemeClr w14:val="tx1"/>
            </w14:solidFill>
          </w14:textFill>
        </w:rPr>
        <w:t>。</w:t>
      </w:r>
    </w:p>
    <w:p>
      <w:pPr>
        <w:spacing w:line="360" w:lineRule="auto"/>
        <w:ind w:firstLine="648" w:firstLineChars="200"/>
        <w:rPr>
          <w:rFonts w:hint="default"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县级以上</w:t>
      </w:r>
      <w:r>
        <w:rPr>
          <w:rFonts w:hint="default" w:ascii="仿宋" w:hAnsi="仿宋" w:eastAsia="仿宋" w:cs="仿宋"/>
          <w:color w:val="000000" w:themeColor="text1"/>
          <w:spacing w:val="7"/>
          <w:sz w:val="31"/>
          <w:szCs w:val="31"/>
          <w:lang w:val="en-US" w:eastAsia="zh-CN"/>
          <w14:textFill>
            <w14:solidFill>
              <w14:schemeClr w14:val="tx1"/>
            </w14:solidFill>
          </w14:textFill>
        </w:rPr>
        <w:t>国家安全、</w:t>
      </w:r>
      <w:r>
        <w:rPr>
          <w:rFonts w:hint="eastAsia" w:ascii="仿宋" w:hAnsi="仿宋" w:eastAsia="仿宋" w:cs="仿宋"/>
          <w:color w:val="000000" w:themeColor="text1"/>
          <w:spacing w:val="7"/>
          <w:sz w:val="31"/>
          <w:szCs w:val="31"/>
          <w:lang w:val="en-US" w:eastAsia="zh-CN"/>
          <w14:textFill>
            <w14:solidFill>
              <w14:schemeClr w14:val="tx1"/>
            </w14:solidFill>
          </w14:textFill>
        </w:rPr>
        <w:t>公安、</w:t>
      </w:r>
      <w:r>
        <w:rPr>
          <w:rFonts w:hint="default" w:ascii="仿宋" w:hAnsi="仿宋" w:eastAsia="仿宋" w:cs="仿宋"/>
          <w:color w:val="000000" w:themeColor="text1"/>
          <w:spacing w:val="7"/>
          <w:sz w:val="31"/>
          <w:szCs w:val="31"/>
          <w:lang w:val="en-US" w:eastAsia="zh-CN"/>
          <w14:textFill>
            <w14:solidFill>
              <w14:schemeClr w14:val="tx1"/>
            </w14:solidFill>
          </w14:textFill>
        </w:rPr>
        <w:t>保密、通信、密码管理等</w:t>
      </w:r>
      <w:r>
        <w:rPr>
          <w:rFonts w:hint="eastAsia" w:ascii="仿宋" w:hAnsi="仿宋" w:eastAsia="仿宋" w:cs="仿宋"/>
          <w:color w:val="000000" w:themeColor="text1"/>
          <w:spacing w:val="7"/>
          <w:sz w:val="31"/>
          <w:szCs w:val="31"/>
          <w:lang w:val="en-US" w:eastAsia="zh-CN"/>
          <w14:textFill>
            <w14:solidFill>
              <w14:schemeClr w14:val="tx1"/>
            </w14:solidFill>
          </w14:textFill>
        </w:rPr>
        <w:t>部门</w:t>
      </w:r>
      <w:r>
        <w:rPr>
          <w:rFonts w:hint="default" w:ascii="仿宋" w:hAnsi="仿宋" w:eastAsia="仿宋" w:cs="仿宋"/>
          <w:color w:val="000000" w:themeColor="text1"/>
          <w:spacing w:val="7"/>
          <w:sz w:val="31"/>
          <w:szCs w:val="31"/>
          <w:lang w:val="en-US" w:eastAsia="zh-CN"/>
          <w14:textFill>
            <w14:solidFill>
              <w14:schemeClr w14:val="tx1"/>
            </w14:solidFill>
          </w14:textFill>
        </w:rPr>
        <w:t>依照有关法律法规的规定，在各自职责范围内承担数据安全监管职责。</w:t>
      </w:r>
    </w:p>
    <w:p>
      <w:pPr>
        <w:spacing w:line="360" w:lineRule="auto"/>
        <w:ind w:firstLine="648" w:firstLineChars="200"/>
        <w:rPr>
          <w:rFonts w:hint="default" w:ascii="仿宋" w:hAnsi="仿宋" w:eastAsia="仿宋" w:cs="仿宋"/>
          <w:color w:val="000000" w:themeColor="text1"/>
          <w:sz w:val="31"/>
          <w:szCs w:val="31"/>
          <w:lang w:val="en-US" w:eastAsia="zh-CN"/>
          <w14:textFill>
            <w14:solidFill>
              <w14:schemeClr w14:val="tx1"/>
            </w14:solidFill>
          </w14:textFill>
        </w:rPr>
      </w:pPr>
      <w:r>
        <w:rPr>
          <w:rFonts w:hint="default" w:ascii="仿宋" w:hAnsi="仿宋" w:eastAsia="仿宋" w:cs="仿宋"/>
          <w:color w:val="000000" w:themeColor="text1"/>
          <w:spacing w:val="7"/>
          <w:sz w:val="31"/>
          <w:szCs w:val="31"/>
          <w:lang w:val="en-US" w:eastAsia="zh-CN"/>
          <w14:textFill>
            <w14:solidFill>
              <w14:schemeClr w14:val="tx1"/>
            </w14:solidFill>
          </w14:textFill>
        </w:rPr>
        <w:t>其他有关部门负责本行业、本领域数据安全相关监督管理。</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五十</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自治区按照国家有关规定，完善落实数据分类分级保护制度和数据安全风险评估、报告、信息共享、监测预警、应急处置等机制，提高数据安全保障能力。</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各地区、各部门应当按照国家规定制定重要数据目录，建立健全重要数据处理活动的风险评估和报送机制，加强对重要数据的保护。</w:t>
      </w:r>
    </w:p>
    <w:p>
      <w:pPr>
        <w:spacing w:line="360" w:lineRule="auto"/>
        <w:ind w:firstLine="648" w:firstLineChars="200"/>
        <w:rPr>
          <w:rFonts w:hint="default" w:ascii="仿宋" w:hAnsi="仿宋" w:eastAsia="仿宋" w:cs="仿宋"/>
          <w:color w:val="000000" w:themeColor="text1"/>
          <w:spacing w:val="7"/>
          <w:sz w:val="31"/>
          <w:szCs w:val="31"/>
          <w:lang w:val="en-US" w:eastAsia="zh-CN"/>
          <w14:textFill>
            <w14:solidFill>
              <w14:schemeClr w14:val="tx1"/>
            </w14:solidFill>
          </w14:textFill>
        </w:rPr>
      </w:pPr>
      <w:r>
        <w:rPr>
          <w:rFonts w:hint="default" w:ascii="仿宋" w:hAnsi="仿宋" w:eastAsia="仿宋" w:cs="仿宋"/>
          <w:color w:val="000000" w:themeColor="text1"/>
          <w:spacing w:val="7"/>
          <w:sz w:val="31"/>
          <w:szCs w:val="31"/>
          <w:lang w:val="en-US" w:eastAsia="zh-CN"/>
          <w14:textFill>
            <w14:solidFill>
              <w14:schemeClr w14:val="tx1"/>
            </w14:solidFill>
          </w14:textFill>
        </w:rPr>
        <w:t>公共管理和服务机构应当按照分类分级保护要求，采取身份认证、访问控制、数据加密、数据脱敏、数据溯源、数据备份、隐私计算等技术措施，提高数据安全保障能力。</w:t>
      </w:r>
    </w:p>
    <w:p>
      <w:pPr>
        <w:spacing w:line="360" w:lineRule="auto"/>
        <w:ind w:firstLine="630" w:firstLineChars="200"/>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五十一</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t>数据处理者开展数据处理活动应当符合法律、法规的规定，建立数据安全常态化运行管理机制，履行以下数据安全保护义务：</w:t>
      </w:r>
    </w:p>
    <w:p>
      <w:pPr>
        <w:spacing w:line="360" w:lineRule="auto"/>
        <w:ind w:firstLine="648" w:firstLineChars="200"/>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pPr>
      <w:r>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t>（一）依法建立健全全流程数据安全管理制度；</w:t>
      </w:r>
    </w:p>
    <w:p>
      <w:pPr>
        <w:spacing w:line="360" w:lineRule="auto"/>
        <w:ind w:firstLine="648" w:firstLineChars="200"/>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pPr>
      <w:r>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t>（二）实行管理岗位责任制，配备安全管理人员和专业技术人员；</w:t>
      </w:r>
    </w:p>
    <w:p>
      <w:pPr>
        <w:spacing w:line="360" w:lineRule="auto"/>
        <w:ind w:firstLine="648" w:firstLineChars="200"/>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pPr>
      <w:r>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t>（三）组织开展数据安全教育培训；</w:t>
      </w:r>
    </w:p>
    <w:p>
      <w:pPr>
        <w:spacing w:line="360" w:lineRule="auto"/>
        <w:ind w:firstLine="648" w:firstLineChars="200"/>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pPr>
      <w:r>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t>（四）加强数据安全日常管理和检查，对复制、导出、脱敏、销毁数据等可能影响数据安全的行为，以及可能影响个人信息保护的行为进行监督；</w:t>
      </w:r>
    </w:p>
    <w:p>
      <w:pPr>
        <w:spacing w:line="360" w:lineRule="auto"/>
        <w:ind w:firstLine="648" w:firstLineChars="200"/>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pPr>
      <w:r>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t>（五）制定数据安全应急预案，开展应急演练；</w:t>
      </w:r>
    </w:p>
    <w:p>
      <w:pPr>
        <w:spacing w:line="360" w:lineRule="auto"/>
        <w:ind w:firstLine="648" w:firstLineChars="200"/>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pPr>
      <w:r>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t>（六）发生数据安全事件时，立即采取有效处置措施，启动应急预案，及时告知可能受到影响的用户，并按照规定向有关主管部门报告；</w:t>
      </w:r>
    </w:p>
    <w:p>
      <w:pPr>
        <w:spacing w:line="360" w:lineRule="auto"/>
        <w:ind w:firstLine="648" w:firstLineChars="200"/>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pPr>
      <w:r>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t>（七）加强风险监测，防范数据汇聚、关联引发的安全风险，发现数据安全缺陷、漏洞等风险时，立即采取补救措施；</w:t>
      </w:r>
    </w:p>
    <w:p>
      <w:pPr>
        <w:spacing w:line="360" w:lineRule="auto"/>
        <w:ind w:firstLine="648" w:firstLineChars="200"/>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pPr>
      <w:r>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t>（八）采取安全保护技术措施，对数据进行分类分级管理，识别、申报重要数据，防止数据丢失、篡改、破坏和泄露，依法申报重要数据出境安全评估，保障数据安全；</w:t>
      </w:r>
    </w:p>
    <w:p>
      <w:pPr>
        <w:spacing w:line="360" w:lineRule="auto"/>
        <w:ind w:firstLine="648" w:firstLineChars="200"/>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pPr>
      <w:r>
        <w:rPr>
          <w:rFonts w:hint="eastAsia" w:ascii="仿宋" w:hAnsi="仿宋" w:eastAsia="仿宋" w:cs="仿宋"/>
          <w:b w:val="0"/>
          <w:bCs w:val="0"/>
          <w:color w:val="000000" w:themeColor="text1"/>
          <w:spacing w:val="7"/>
          <w:sz w:val="31"/>
          <w:szCs w:val="31"/>
          <w:lang w:val="en-US" w:eastAsia="zh-CN"/>
          <w14:textFill>
            <w14:solidFill>
              <w14:schemeClr w14:val="tx1"/>
            </w14:solidFill>
          </w14:textFill>
        </w:rPr>
        <w:t>（九）法律、法规规定的其他安全保护义务。</w:t>
      </w:r>
    </w:p>
    <w:p>
      <w:pPr>
        <w:spacing w:line="360" w:lineRule="auto"/>
        <w:ind w:firstLine="630" w:firstLineChars="200"/>
        <w:rPr>
          <w:rFonts w:hint="eastAsia" w:ascii="仿宋" w:hAnsi="仿宋" w:eastAsia="仿宋" w:cs="仿宋"/>
          <w:b w:val="0"/>
          <w:bCs w:val="0"/>
          <w:color w:val="000000" w:themeColor="text1"/>
          <w:spacing w:val="7"/>
          <w:sz w:val="31"/>
          <w:szCs w:val="31"/>
          <w:u w:val="none"/>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五十二</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b w:val="0"/>
          <w:bCs w:val="0"/>
          <w:color w:val="000000" w:themeColor="text1"/>
          <w:spacing w:val="7"/>
          <w:sz w:val="31"/>
          <w:szCs w:val="31"/>
          <w:u w:val="none"/>
          <w:lang w:val="en-US" w:eastAsia="zh-CN"/>
          <w14:textFill>
            <w14:solidFill>
              <w14:schemeClr w14:val="tx1"/>
            </w14:solidFill>
          </w14:textFill>
        </w:rPr>
        <w:t>数据处理者可以通过合法、正当的方式收集企业数据和个人数据，不得过度收集或者使用窃取等非法手段获取数据，不得侵害他人合法权益。</w:t>
      </w:r>
    </w:p>
    <w:p>
      <w:pPr>
        <w:spacing w:line="360" w:lineRule="auto"/>
        <w:ind w:firstLine="648" w:firstLineChars="200"/>
        <w:rPr>
          <w:rFonts w:hint="eastAsia" w:ascii="楷体" w:hAnsi="楷体" w:eastAsia="楷体" w:cs="楷体"/>
          <w:b/>
          <w:bCs/>
          <w:color w:val="000000" w:themeColor="text1"/>
          <w:spacing w:val="2"/>
          <w:sz w:val="31"/>
          <w:szCs w:val="31"/>
          <w:u w:val="none"/>
          <w:lang w:val="en-US" w:eastAsia="zh-CN"/>
          <w14:textFill>
            <w14:solidFill>
              <w14:schemeClr w14:val="tx1"/>
            </w14:solidFill>
          </w14:textFill>
        </w:rPr>
      </w:pPr>
      <w:r>
        <w:rPr>
          <w:rFonts w:hint="eastAsia" w:ascii="仿宋" w:hAnsi="仿宋" w:eastAsia="仿宋" w:cs="仿宋"/>
          <w:b w:val="0"/>
          <w:bCs w:val="0"/>
          <w:color w:val="000000" w:themeColor="text1"/>
          <w:spacing w:val="7"/>
          <w:sz w:val="31"/>
          <w:szCs w:val="31"/>
          <w:u w:val="none"/>
          <w:lang w:val="en-US" w:eastAsia="zh-CN"/>
          <w14:textFill>
            <w14:solidFill>
              <w14:schemeClr w14:val="tx1"/>
            </w14:solidFill>
          </w14:textFill>
        </w:rPr>
        <w:t>收集个人信息应当限于实现处理目的的最小范围。处理敏感个人信息应当具有特定的目的和充分的必要性，并采取严格的保护措施。处理敏感个人信息应当取得个人的单独同意；法律、行政法规规定处理敏感个人信息应当取得书面同意的，从其规定。</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数据处理者对涉及个人信息的数据应当依法采取脱敏、加密保护等措施，不得采取一揽子授权、强制同意等方式过度收集个人信息，不得擅自变更数据授权用途，法律、行政法规另有规定的，从其规定。</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数据处理者因合并、分立、解散、被宣告破产等主体资格变化，或者因合同解除、终止等因素，需要转移个人信息数据的，应当履行告知义务；接收方应当继续履行数据处理者的义务，需变更原先的处理目的、处理方式的，应当重新取得个人同意。</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五十三</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自治区支持数据安全检测评估、认证等专业服务机构依法开展数据安全相关服务。支持有关部门、高等学校、科研机构、企业、行业协会、专业服务机构等在数据安全风险评估、防范、处置等方面开展协作。</w:t>
      </w:r>
    </w:p>
    <w:p>
      <w:pPr>
        <w:spacing w:line="360" w:lineRule="auto"/>
        <w:ind w:left="0" w:leftChars="0" w:right="0" w:rightChars="0" w:firstLine="0" w:firstLineChars="0"/>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第七章 法律责任</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五十四</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违反本条例规定的行为，法律、法规已有法律责任规定的，从其规定。</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五十五</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自然人、法人和非法人组织违反本条例规定，未按照公共</w:t>
      </w:r>
      <w:r>
        <w:rPr>
          <w:rFonts w:hint="default" w:ascii="仿宋" w:hAnsi="仿宋" w:eastAsia="仿宋" w:cs="仿宋"/>
          <w:color w:val="000000" w:themeColor="text1"/>
          <w:spacing w:val="7"/>
          <w:sz w:val="31"/>
          <w:szCs w:val="31"/>
          <w:lang w:val="en-US" w:eastAsia="zh-CN"/>
          <w14:textFill>
            <w14:solidFill>
              <w14:schemeClr w14:val="tx1"/>
            </w14:solidFill>
          </w14:textFill>
        </w:rPr>
        <w:t>数据</w:t>
      </w:r>
      <w:r>
        <w:rPr>
          <w:rFonts w:hint="eastAsia" w:ascii="仿宋" w:hAnsi="仿宋" w:eastAsia="仿宋" w:cs="仿宋"/>
          <w:color w:val="000000" w:themeColor="text1"/>
          <w:spacing w:val="7"/>
          <w:sz w:val="31"/>
          <w:szCs w:val="31"/>
          <w:lang w:val="en-US" w:eastAsia="zh-CN"/>
          <w14:textFill>
            <w14:solidFill>
              <w14:schemeClr w14:val="tx1"/>
            </w14:solidFill>
          </w14:textFill>
        </w:rPr>
        <w:t>资源开放</w:t>
      </w:r>
      <w:r>
        <w:rPr>
          <w:rFonts w:hint="default" w:ascii="仿宋" w:hAnsi="仿宋" w:eastAsia="仿宋" w:cs="仿宋"/>
          <w:color w:val="000000" w:themeColor="text1"/>
          <w:spacing w:val="7"/>
          <w:sz w:val="31"/>
          <w:szCs w:val="31"/>
          <w:lang w:val="en-US" w:eastAsia="zh-CN"/>
          <w14:textFill>
            <w14:solidFill>
              <w14:schemeClr w14:val="tx1"/>
            </w14:solidFill>
          </w14:textFill>
        </w:rPr>
        <w:t>利用</w:t>
      </w:r>
      <w:r>
        <w:rPr>
          <w:rFonts w:hint="eastAsia" w:ascii="仿宋" w:hAnsi="仿宋" w:eastAsia="仿宋" w:cs="仿宋"/>
          <w:color w:val="000000" w:themeColor="text1"/>
          <w:spacing w:val="7"/>
          <w:sz w:val="31"/>
          <w:szCs w:val="31"/>
          <w:lang w:val="en-US" w:eastAsia="zh-CN"/>
          <w14:textFill>
            <w14:solidFill>
              <w14:schemeClr w14:val="tx1"/>
            </w14:solidFill>
          </w14:textFill>
        </w:rPr>
        <w:t>协议明确的用途、应用场景开发利用数据的，由县级以上人民政府数据管理部门责令限期改正；逾期未改正或者造成严重后果的，处一万元以上十万元以下的罚款。</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五十六</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公共管理和服务机构及其工作人员违反本条例规定，未依法履行职责的，由有权机关责令改正，对直接负责的主管人员和其他直接责任人员依法给予处分；构成犯罪的，依法追究刑事责任。</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五十七</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公共管理和服务机构及其工作人员在数据工作先行先试中履职尽责但因客观原因出现失误偏差能够及时纠正并消除负面影响的，依照有关规定免除相关责任或者从轻减轻处理。</w:t>
      </w:r>
    </w:p>
    <w:p>
      <w:pPr>
        <w:spacing w:line="360" w:lineRule="auto"/>
        <w:ind w:left="0" w:leftChars="0" w:right="0" w:rightChars="0" w:firstLine="0" w:firstLineChars="0"/>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第八章 附则</w:t>
      </w:r>
    </w:p>
    <w:p>
      <w:pPr>
        <w:spacing w:line="360" w:lineRule="auto"/>
        <w:ind w:firstLine="630"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五十八</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本条例中下列用语的含义：</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（一）数据，是指任何以电子或者其他方式对信息的记录；</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（二）数据处理，包括数据的收集、存储、使用、加工、传输、提供、公开等；</w:t>
      </w:r>
    </w:p>
    <w:p>
      <w:pPr>
        <w:spacing w:line="360" w:lineRule="auto"/>
        <w:ind w:firstLine="648" w:firstLineChars="200"/>
        <w:rPr>
          <w:rFonts w:hint="default"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（三）数据处理者，是指在数据处理活动中自主决定处理目的和处理方式的个人或者组织；</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（四）公共数据，是指各级党政机关、企事业单位（本条例统称公共管理和服务机构）依法履职或提供公共服务过程中产生的数据；</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（五）公共数据资源共享，是指公共管理和服务机构为履行法定职责或者提供公共服务需要，依法使用其他公共管理和服务机构的公共数据资源，以及为其他政务部门和公共服务组织提供公共数据资源的行为；</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（六）公共数据资源开放，是指公共管理和服务机构向社会依法提供公共数据资源的行为；</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（七）公共数据资源授权运营，是指将公共管理和服务机构持有的公共数据资源，按照法律法规和相关要求，授权符合条件的公共数据运营机构进行治理、开发，并面向市场公平提供数据产品和服务的活动；</w:t>
      </w:r>
    </w:p>
    <w:p>
      <w:pPr>
        <w:spacing w:line="360" w:lineRule="auto"/>
        <w:ind w:firstLine="648" w:firstLineChars="20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（八）公共数据实施机构，是指由自治区人民政府或自治区人民政府各行业主管部门结合授权模式确定的、具体负责组织开展授权运营活动的单位；</w:t>
      </w:r>
    </w:p>
    <w:p>
      <w:pPr>
        <w:spacing w:line="360" w:lineRule="auto"/>
        <w:ind w:firstLine="648" w:firstLineChars="20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（九）公共数据运营机构，是指按照规范程序获得授权，对授权范围内的公共数据资源进行开发运营的法人组织；</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（十）企业数据，是指各类经营主体在生产经营活动中形成或合法获取、持有的数据；</w:t>
      </w:r>
    </w:p>
    <w:p>
      <w:pPr>
        <w:spacing w:line="360" w:lineRule="auto"/>
        <w:ind w:firstLine="648" w:firstLineChars="200"/>
        <w:rPr>
          <w:rFonts w:hint="eastAsia" w:ascii="仿宋" w:hAnsi="仿宋" w:eastAsia="仿宋" w:cs="仿宋"/>
          <w:color w:val="000000" w:themeColor="text1"/>
          <w:spacing w:val="7"/>
          <w:sz w:val="31"/>
          <w:szCs w:val="31"/>
          <w:lang w:val="en-US" w:eastAsia="zh-CN"/>
          <w14:textFill>
            <w14:solidFill>
              <w14:schemeClr w14:val="tx1"/>
            </w14:solidFill>
          </w14:textFill>
        </w:rPr>
      </w:pPr>
      <w:r>
        <w:rPr>
          <w:rFonts w:hint="eastAsia" w:ascii="仿宋" w:hAnsi="仿宋" w:eastAsia="仿宋" w:cs="仿宋"/>
          <w:color w:val="000000" w:themeColor="text1"/>
          <w:spacing w:val="7"/>
          <w:sz w:val="31"/>
          <w:szCs w:val="31"/>
          <w:lang w:val="en-US" w:eastAsia="zh-CN"/>
          <w14:textFill>
            <w14:solidFill>
              <w14:schemeClr w14:val="tx1"/>
            </w14:solidFill>
          </w14:textFill>
        </w:rPr>
        <w:t>（十一）个人数据，是指以电子方式记录的与已识别或者可识别的自然人有关的各种信息，不包括匿名化处理后的信息。</w:t>
      </w:r>
    </w:p>
    <w:p>
      <w:pPr>
        <w:keepNext w:val="0"/>
        <w:keepLines w:val="0"/>
        <w:pageBreakBefore w:val="0"/>
        <w:widowControl w:val="0"/>
        <w:kinsoku/>
        <w:wordWrap/>
        <w:overflowPunct/>
        <w:topLinePunct w:val="0"/>
        <w:autoSpaceDE/>
        <w:autoSpaceDN/>
        <w:bidi w:val="0"/>
        <w:adjustRightInd/>
        <w:snapToGrid/>
        <w:ind w:left="0" w:leftChars="0" w:right="0" w:rightChars="0" w:firstLine="630" w:firstLineChars="200"/>
        <w:jc w:val="left"/>
        <w:textAlignment w:val="auto"/>
        <w:rPr>
          <w:rFonts w:hint="eastAsia" w:ascii="仿宋" w:hAnsi="仿宋" w:eastAsia="仿宋" w:cs="仿宋"/>
          <w:color w:val="000000" w:themeColor="text1"/>
          <w:spacing w:val="-1"/>
          <w:sz w:val="31"/>
          <w:szCs w:val="31"/>
          <w:lang w:val="en-US" w:eastAsia="zh-CN"/>
          <w14:textFill>
            <w14:solidFill>
              <w14:schemeClr w14:val="tx1"/>
            </w14:solidFill>
          </w14:textFill>
        </w:rPr>
      </w:pPr>
      <w:r>
        <w:rPr>
          <w:rFonts w:hint="eastAsia" w:ascii="楷体" w:hAnsi="楷体" w:eastAsia="楷体" w:cs="楷体"/>
          <w:b/>
          <w:bCs/>
          <w:color w:val="000000" w:themeColor="text1"/>
          <w:spacing w:val="2"/>
          <w:sz w:val="31"/>
          <w:szCs w:val="31"/>
          <w:lang w:val="en-US" w:eastAsia="zh-CN"/>
          <w14:textFill>
            <w14:solidFill>
              <w14:schemeClr w14:val="tx1"/>
            </w14:solidFill>
          </w14:textFill>
        </w:rPr>
        <w:t>第五十九条</w:t>
      </w:r>
      <w:r>
        <w:rPr>
          <w:rFonts w:hint="eastAsia" w:ascii="仿宋" w:hAnsi="仿宋" w:eastAsia="仿宋" w:cs="仿宋"/>
          <w:color w:val="000000" w:themeColor="text1"/>
          <w:spacing w:val="7"/>
          <w:sz w:val="31"/>
          <w:szCs w:val="31"/>
          <w:lang w:val="en-US" w:eastAsia="zh-CN"/>
          <w14:textFill>
            <w14:solidFill>
              <w14:schemeClr w14:val="tx1"/>
            </w14:solidFill>
          </w14:textFill>
        </w:rPr>
        <w:t xml:space="preserve"> </w:t>
      </w:r>
      <w:r>
        <w:rPr>
          <w:rFonts w:ascii="仿宋" w:hAnsi="仿宋" w:eastAsia="仿宋" w:cs="仿宋"/>
          <w:color w:val="000000" w:themeColor="text1"/>
          <w:spacing w:val="-1"/>
          <w:sz w:val="31"/>
          <w:szCs w:val="31"/>
          <w14:textFill>
            <w14:solidFill>
              <w14:schemeClr w14:val="tx1"/>
            </w14:solidFill>
          </w14:textFill>
        </w:rPr>
        <w:t>中央国家机关派驻自治区的机关或者派出机构</w:t>
      </w:r>
      <w:r>
        <w:rPr>
          <w:rFonts w:hint="eastAsia" w:ascii="仿宋" w:hAnsi="仿宋" w:eastAsia="仿宋" w:cs="仿宋"/>
          <w:color w:val="000000" w:themeColor="text1"/>
          <w:spacing w:val="-1"/>
          <w:sz w:val="31"/>
          <w:szCs w:val="31"/>
          <w:lang w:val="en-US" w:eastAsia="zh-CN"/>
          <w14:textFill>
            <w14:solidFill>
              <w14:schemeClr w14:val="tx1"/>
            </w14:solidFill>
          </w14:textFill>
        </w:rPr>
        <w:t>在宁开展数据相关活动</w:t>
      </w:r>
      <w:r>
        <w:rPr>
          <w:rFonts w:ascii="仿宋" w:hAnsi="仿宋" w:eastAsia="仿宋" w:cs="仿宋"/>
          <w:color w:val="000000" w:themeColor="text1"/>
          <w:spacing w:val="-1"/>
          <w:sz w:val="31"/>
          <w:szCs w:val="31"/>
          <w14:textFill>
            <w14:solidFill>
              <w14:schemeClr w14:val="tx1"/>
            </w14:solidFill>
          </w14:textFill>
        </w:rPr>
        <w:t>，参照本条例有关规定执行。法律、法规和国家另有规定的，从其规定。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30" w:firstLineChars="200"/>
        <w:jc w:val="both"/>
        <w:textAlignment w:val="auto"/>
        <w:rPr>
          <w:rFonts w:hint="eastAsia" w:ascii="仿宋" w:hAnsi="仿宋" w:eastAsia="仿宋" w:cs="仿宋"/>
          <w:color w:val="000000" w:themeColor="text1"/>
          <w:sz w:val="31"/>
          <w:szCs w:val="31"/>
          <w:lang w:val="en-US" w:eastAsia="zh-CN"/>
          <w14:textFill>
            <w14:solidFill>
              <w14:schemeClr w14:val="tx1"/>
            </w14:solidFill>
          </w14:textFill>
        </w:rPr>
      </w:pPr>
      <w:r>
        <w:rPr>
          <w:rFonts w:hint="default" w:ascii="楷体" w:hAnsi="楷体" w:eastAsia="楷体" w:cs="楷体"/>
          <w:b/>
          <w:bCs/>
          <w:color w:val="000000" w:themeColor="text1"/>
          <w:spacing w:val="2"/>
          <w:sz w:val="31"/>
          <w:szCs w:val="31"/>
          <w:lang w:val="en-US" w:eastAsia="zh-CN"/>
          <w14:textFill>
            <w14:solidFill>
              <w14:schemeClr w14:val="tx1"/>
            </w14:solidFill>
          </w14:textFill>
        </w:rPr>
        <w:t>第</w:t>
      </w:r>
      <w:r>
        <w:rPr>
          <w:rFonts w:hint="eastAsia" w:ascii="楷体" w:hAnsi="楷体" w:eastAsia="楷体" w:cs="楷体"/>
          <w:b/>
          <w:bCs/>
          <w:color w:val="000000" w:themeColor="text1"/>
          <w:spacing w:val="2"/>
          <w:sz w:val="31"/>
          <w:szCs w:val="31"/>
          <w:lang w:val="en-US" w:eastAsia="zh-CN"/>
          <w14:textFill>
            <w14:solidFill>
              <w14:schemeClr w14:val="tx1"/>
            </w14:solidFill>
          </w14:textFill>
        </w:rPr>
        <w:t>六十</w:t>
      </w:r>
      <w:r>
        <w:rPr>
          <w:rFonts w:hint="default" w:ascii="楷体" w:hAnsi="楷体" w:eastAsia="楷体" w:cs="楷体"/>
          <w:b/>
          <w:bCs/>
          <w:color w:val="000000" w:themeColor="text1"/>
          <w:spacing w:val="2"/>
          <w:sz w:val="31"/>
          <w:szCs w:val="31"/>
          <w:lang w:val="en-US" w:eastAsia="zh-CN"/>
          <w14:textFill>
            <w14:solidFill>
              <w14:schemeClr w14:val="tx1"/>
            </w14:solidFill>
          </w14:textFill>
        </w:rPr>
        <w:t>条</w:t>
      </w:r>
      <w:r>
        <w:rPr>
          <w:rFonts w:hint="eastAsia" w:ascii="楷体" w:hAnsi="楷体" w:eastAsia="楷体" w:cs="楷体"/>
          <w:b/>
          <w:bCs/>
          <w:color w:val="000000" w:themeColor="text1"/>
          <w:spacing w:val="2"/>
          <w:sz w:val="31"/>
          <w:szCs w:val="31"/>
          <w:lang w:val="en-US" w:eastAsia="zh-CN"/>
          <w14:textFill>
            <w14:solidFill>
              <w14:schemeClr w14:val="tx1"/>
            </w14:solidFill>
          </w14:textFill>
        </w:rPr>
        <w:t xml:space="preserve"> </w:t>
      </w:r>
      <w:r>
        <w:rPr>
          <w:rFonts w:hint="eastAsia" w:ascii="仿宋" w:hAnsi="仿宋" w:eastAsia="仿宋" w:cs="仿宋"/>
          <w:color w:val="000000" w:themeColor="text1"/>
          <w:spacing w:val="7"/>
          <w:sz w:val="31"/>
          <w:szCs w:val="31"/>
          <w:lang w:val="en-US" w:eastAsia="zh-CN"/>
          <w14:textFill>
            <w14:solidFill>
              <w14:schemeClr w14:val="tx1"/>
            </w14:solidFill>
          </w14:textFill>
        </w:rPr>
        <w:t>本条例自  年  月  日起施行。</w:t>
      </w:r>
    </w:p>
    <w:p>
      <w:pPr>
        <w:spacing w:line="360" w:lineRule="auto"/>
        <w:rPr>
          <w:rFonts w:hint="eastAsia" w:ascii="仿宋" w:hAnsi="仿宋" w:eastAsia="仿宋" w:cs="仿宋"/>
          <w:color w:val="000000" w:themeColor="text1"/>
          <w:spacing w:val="7"/>
          <w:sz w:val="31"/>
          <w:szCs w:val="3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F6FEC"/>
    <w:rsid w:val="015F53B8"/>
    <w:rsid w:val="028326B0"/>
    <w:rsid w:val="033D1A43"/>
    <w:rsid w:val="03D84582"/>
    <w:rsid w:val="06B94A2C"/>
    <w:rsid w:val="13C60790"/>
    <w:rsid w:val="1B8B4B74"/>
    <w:rsid w:val="21754D72"/>
    <w:rsid w:val="2638335C"/>
    <w:rsid w:val="293F6FEC"/>
    <w:rsid w:val="33D37F79"/>
    <w:rsid w:val="36F776BB"/>
    <w:rsid w:val="40DF4CA9"/>
    <w:rsid w:val="44A410B0"/>
    <w:rsid w:val="4DFB318A"/>
    <w:rsid w:val="5C837200"/>
    <w:rsid w:val="6F262767"/>
    <w:rsid w:val="6FDF07B0"/>
    <w:rsid w:val="72A801AB"/>
    <w:rsid w:val="737D33F2"/>
    <w:rsid w:val="77DF8198"/>
    <w:rsid w:val="7D7D2BE4"/>
    <w:rsid w:val="B8FFC4EA"/>
    <w:rsid w:val="CF93B6C3"/>
    <w:rsid w:val="DFBFCC63"/>
    <w:rsid w:val="FBF5E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span_sect2Title"/>
    <w:basedOn w:val="7"/>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9025</Words>
  <Characters>9025</Characters>
  <Lines>0</Lines>
  <Paragraphs>0</Paragraphs>
  <TotalTime>141</TotalTime>
  <ScaleCrop>false</ScaleCrop>
  <LinksUpToDate>false</LinksUpToDate>
  <CharactersWithSpaces>9099</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2025-04-21T21:49:00Z</dcterms:created>
  <dc:creator>王杰</dc:creator>
  <cp:lastModifiedBy>用户</cp:lastModifiedBy>
  <cp:lastPrinted>2025-04-30T18:12:00Z</cp:lastPrinted>
  <dcterms:modified xsi:type="dcterms:W3CDTF">2025-04-30T16:49:10Z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CB800709440B4A3F980558444A63A021_13</vt:lpwstr>
  </property>
  <property fmtid="{D5CDD505-2E9C-101B-9397-08002B2CF9AE}" pid="4" name="KSOTemplateDocerSaveRecord">
    <vt:lpwstr>eyJoZGlkIjoiY2MxZmZmOWUxZmRkODVlNzVlMTdhODBmZWVhMTBmOWQiLCJ1c2VySWQiOiIyNTU3NDY4MTkifQ==</vt:lpwstr>
  </property>
</Properties>
</file>