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6"/>
        <w:gridCol w:w="3699"/>
        <w:gridCol w:w="1660"/>
        <w:gridCol w:w="2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4465" w:type="dxa"/>
            <w:gridSpan w:val="2"/>
            <w:shd w:val="clear"/>
            <w:vAlign w:val="center"/>
          </w:tcPr>
          <w:p>
            <w:pPr>
              <w:pStyle w:val="2"/>
              <w:keepNext w:val="0"/>
              <w:keepLines w:val="0"/>
              <w:widowControl/>
              <w:suppressLineNumbers w:val="0"/>
              <w:spacing w:before="0" w:beforeAutospacing="1" w:after="0" w:afterAutospacing="1"/>
              <w:ind w:left="0" w:right="0"/>
              <w:jc w:val="both"/>
              <w:rPr>
                <w:rFonts w:ascii="黑体" w:hAnsi="宋体" w:eastAsia="黑体" w:cs="黑体"/>
                <w:sz w:val="32"/>
                <w:szCs w:val="32"/>
              </w:rPr>
            </w:pPr>
            <w:r>
              <w:rPr>
                <w:rFonts w:hint="eastAsia" w:ascii="黑体" w:hAnsi="宋体" w:eastAsia="黑体" w:cs="黑体"/>
                <w:i w:val="0"/>
                <w:caps w:val="0"/>
                <w:color w:val="000000"/>
                <w:spacing w:val="0"/>
                <w:sz w:val="32"/>
                <w:szCs w:val="32"/>
              </w:rPr>
              <w:t>附件2</w:t>
            </w:r>
          </w:p>
        </w:tc>
        <w:tc>
          <w:tcPr>
            <w:tcW w:w="1660" w:type="dxa"/>
            <w:shd w:val="clear"/>
            <w:vAlign w:val="center"/>
          </w:tcPr>
          <w:p>
            <w:pPr>
              <w:rPr>
                <w:rFonts w:hint="eastAsia" w:ascii="微软雅黑" w:hAnsi="微软雅黑" w:eastAsia="微软雅黑" w:cs="微软雅黑"/>
                <w:i w:val="0"/>
                <w:caps w:val="0"/>
                <w:color w:val="000000"/>
                <w:spacing w:val="0"/>
                <w:sz w:val="27"/>
                <w:szCs w:val="27"/>
              </w:rPr>
            </w:pPr>
          </w:p>
        </w:tc>
        <w:tc>
          <w:tcPr>
            <w:tcW w:w="2210" w:type="dxa"/>
            <w:shd w:val="clear"/>
            <w:vAlign w:val="center"/>
          </w:tcPr>
          <w:p>
            <w:pPr>
              <w:rPr>
                <w:rFonts w:hint="eastAsia" w:ascii="微软雅黑" w:hAnsi="微软雅黑" w:eastAsia="微软雅黑" w:cs="微软雅黑"/>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40" w:hRule="atLeast"/>
        </w:trPr>
        <w:tc>
          <w:tcPr>
            <w:tcW w:w="8335" w:type="dxa"/>
            <w:gridSpan w:val="4"/>
            <w:shd w:val="clear"/>
            <w:vAlign w:val="center"/>
          </w:tcPr>
          <w:p>
            <w:pPr>
              <w:pStyle w:val="2"/>
              <w:keepNext w:val="0"/>
              <w:keepLines w:val="0"/>
              <w:widowControl/>
              <w:suppressLineNumbers w:val="0"/>
              <w:spacing w:before="0" w:beforeAutospacing="1" w:after="0" w:afterAutospacing="1"/>
              <w:ind w:left="0" w:right="0"/>
              <w:jc w:val="center"/>
              <w:rPr>
                <w:rFonts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i w:val="0"/>
                <w:caps w:val="0"/>
                <w:color w:val="000000"/>
                <w:spacing w:val="0"/>
                <w:sz w:val="36"/>
                <w:szCs w:val="36"/>
              </w:rPr>
              <w:t>自治区发展改革委宣布失效的行政规范性文件目录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60" w:hRule="atLeast"/>
        </w:trPr>
        <w:tc>
          <w:tcPr>
            <w:tcW w:w="766"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b/>
                <w:i w:val="0"/>
                <w:caps w:val="0"/>
                <w:color w:val="000000"/>
                <w:spacing w:val="0"/>
                <w:sz w:val="20"/>
                <w:szCs w:val="20"/>
              </w:rPr>
              <w:t>序号</w:t>
            </w:r>
          </w:p>
        </w:tc>
        <w:tc>
          <w:tcPr>
            <w:tcW w:w="369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b/>
                <w:i w:val="0"/>
                <w:caps w:val="0"/>
                <w:color w:val="000000"/>
                <w:spacing w:val="0"/>
                <w:sz w:val="20"/>
                <w:szCs w:val="20"/>
              </w:rPr>
              <w:t>文件名</w:t>
            </w:r>
          </w:p>
        </w:tc>
        <w:tc>
          <w:tcPr>
            <w:tcW w:w="166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b/>
                <w:i w:val="0"/>
                <w:caps w:val="0"/>
                <w:color w:val="000000"/>
                <w:spacing w:val="0"/>
                <w:sz w:val="20"/>
                <w:szCs w:val="20"/>
              </w:rPr>
              <w:t>发文日期</w:t>
            </w:r>
          </w:p>
        </w:tc>
        <w:tc>
          <w:tcPr>
            <w:tcW w:w="221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b/>
                <w:i w:val="0"/>
                <w:caps w:val="0"/>
                <w:color w:val="000000"/>
                <w:spacing w:val="0"/>
                <w:sz w:val="20"/>
                <w:szCs w:val="20"/>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trPr>
        <w:tc>
          <w:tcPr>
            <w:tcW w:w="766"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1</w:t>
            </w:r>
          </w:p>
        </w:tc>
        <w:tc>
          <w:tcPr>
            <w:tcW w:w="369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《关于印发能源行业加强大气污染防治工作方案的通知》</w:t>
            </w:r>
          </w:p>
        </w:tc>
        <w:tc>
          <w:tcPr>
            <w:tcW w:w="166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2014年4月23日</w:t>
            </w:r>
          </w:p>
        </w:tc>
        <w:tc>
          <w:tcPr>
            <w:tcW w:w="221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宁发改能源〔2014〕157号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00" w:hRule="atLeast"/>
        </w:trPr>
        <w:tc>
          <w:tcPr>
            <w:tcW w:w="766"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2</w:t>
            </w:r>
          </w:p>
        </w:tc>
        <w:tc>
          <w:tcPr>
            <w:tcW w:w="369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《关于印发〈宁夏回族自治区煤电节能减排升级改造与行动计划（2014-2020）〉的通知》</w:t>
            </w:r>
          </w:p>
        </w:tc>
        <w:tc>
          <w:tcPr>
            <w:tcW w:w="166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2014年11月7日</w:t>
            </w:r>
          </w:p>
        </w:tc>
        <w:tc>
          <w:tcPr>
            <w:tcW w:w="221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宁发改能源（管理）〔2014〕627号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00" w:hRule="atLeast"/>
        </w:trPr>
        <w:tc>
          <w:tcPr>
            <w:tcW w:w="766"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3</w:t>
            </w:r>
          </w:p>
        </w:tc>
        <w:tc>
          <w:tcPr>
            <w:tcW w:w="369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《关于印发加快推进油气及矿产资源保障重大工程建设实施方案的通知》</w:t>
            </w:r>
          </w:p>
        </w:tc>
        <w:tc>
          <w:tcPr>
            <w:tcW w:w="166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2014年11月24日</w:t>
            </w:r>
          </w:p>
        </w:tc>
        <w:tc>
          <w:tcPr>
            <w:tcW w:w="221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宁发改能源（发展）〔2014〕658号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trPr>
        <w:tc>
          <w:tcPr>
            <w:tcW w:w="766"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4</w:t>
            </w:r>
          </w:p>
        </w:tc>
        <w:tc>
          <w:tcPr>
            <w:tcW w:w="369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《关于加快实施煤电节能减排升级改造的通知》</w:t>
            </w:r>
          </w:p>
        </w:tc>
        <w:tc>
          <w:tcPr>
            <w:tcW w:w="166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2015年2月28日</w:t>
            </w:r>
          </w:p>
        </w:tc>
        <w:tc>
          <w:tcPr>
            <w:tcW w:w="221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宁发改能源（管理）〔2015〕89号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trPr>
        <w:tc>
          <w:tcPr>
            <w:tcW w:w="766"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5</w:t>
            </w:r>
          </w:p>
        </w:tc>
        <w:tc>
          <w:tcPr>
            <w:tcW w:w="369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《关于印发宁夏回族自治区燃煤锅炉节能环保综合提升工程实施方案的通知》</w:t>
            </w:r>
          </w:p>
        </w:tc>
        <w:tc>
          <w:tcPr>
            <w:tcW w:w="166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2015年2月9日</w:t>
            </w:r>
          </w:p>
        </w:tc>
        <w:tc>
          <w:tcPr>
            <w:tcW w:w="221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宁发改环资〔2015〕109号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0" w:hRule="atLeast"/>
        </w:trPr>
        <w:tc>
          <w:tcPr>
            <w:tcW w:w="766"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6</w:t>
            </w:r>
          </w:p>
        </w:tc>
        <w:tc>
          <w:tcPr>
            <w:tcW w:w="369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《自治区发展改革委关于印发煤炭消费总量控制实施方案的通知》</w:t>
            </w:r>
          </w:p>
        </w:tc>
        <w:tc>
          <w:tcPr>
            <w:tcW w:w="166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2015年2月11日</w:t>
            </w:r>
          </w:p>
        </w:tc>
        <w:tc>
          <w:tcPr>
            <w:tcW w:w="221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1" w:after="0" w:afterAutospacing="1"/>
              <w:ind w:left="0" w:right="0"/>
              <w:rPr>
                <w:rFonts w:hint="eastAsia" w:ascii="宋体" w:hAnsi="宋体" w:eastAsia="宋体" w:cs="宋体"/>
                <w:sz w:val="20"/>
                <w:szCs w:val="20"/>
              </w:rPr>
            </w:pPr>
            <w:r>
              <w:rPr>
                <w:rFonts w:hint="eastAsia" w:ascii="宋体" w:hAnsi="宋体" w:eastAsia="宋体" w:cs="宋体"/>
                <w:i w:val="0"/>
                <w:caps w:val="0"/>
                <w:color w:val="000000"/>
                <w:spacing w:val="0"/>
                <w:sz w:val="20"/>
                <w:szCs w:val="20"/>
              </w:rPr>
              <w:t>宁发改能源（管理）〔2015〕136号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EF"/>
    <w:rsid w:val="004115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2021-01-04T02:04:00Z</dcterms:created>
  <dc:creator>沈妍红</dc:creator>
  <cp:lastModifiedBy>沈妍红</cp:lastModifiedBy>
  <dcterms:modified xsi:type="dcterms:W3CDTF">2021-01-04T02:05:23Z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