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Lines="0" w:line="600" w:lineRule="exact"/>
        <w:ind w:left="0" w:lef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bidi w:val="0"/>
        <w:snapToGrid/>
        <w:spacing w:beforeLines="0" w:line="600" w:lineRule="exact"/>
        <w:ind w:left="0" w:lef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宁夏</w:t>
      </w:r>
      <w:r>
        <w:rPr>
          <w:rFonts w:hint="eastAsia" w:ascii="方正小标宋_GBK" w:hAnsi="方正小标宋_GBK" w:eastAsia="方正小标宋_GBK" w:cs="方正小标宋_GBK"/>
          <w:sz w:val="36"/>
          <w:szCs w:val="36"/>
          <w:lang w:eastAsia="zh-CN"/>
        </w:rPr>
        <w:t>葡萄酒</w:t>
      </w:r>
      <w:r>
        <w:rPr>
          <w:rFonts w:hint="eastAsia" w:ascii="方正小标宋_GBK" w:hAnsi="方正小标宋_GBK" w:eastAsia="方正小标宋_GBK" w:cs="方正小标宋_GBK"/>
          <w:sz w:val="36"/>
          <w:szCs w:val="36"/>
        </w:rPr>
        <w:t>与防沙治沙职业技术学院葡萄酒教学实验实训基地项目项目审定概算表</w:t>
      </w:r>
    </w:p>
    <w:p>
      <w:pPr>
        <w:keepNext w:val="0"/>
        <w:keepLines w:val="0"/>
        <w:pageBreakBefore w:val="0"/>
        <w:widowControl w:val="0"/>
        <w:kinsoku/>
        <w:wordWrap/>
        <w:overflowPunct/>
        <w:topLinePunct w:val="0"/>
        <w:bidi w:val="0"/>
        <w:snapToGrid/>
        <w:spacing w:beforeLines="0" w:line="240" w:lineRule="exact"/>
        <w:ind w:left="0" w:leftChars="0" w:firstLine="0" w:firstLineChars="0"/>
        <w:jc w:val="center"/>
        <w:textAlignment w:val="auto"/>
        <w:outlineLvl w:val="9"/>
        <w:rPr>
          <w:rFonts w:hint="eastAsia" w:ascii="方正小标宋_GBK" w:hAnsi="方正小标宋_GBK" w:eastAsia="方正小标宋_GBK" w:cs="方正小标宋_GBK"/>
          <w:sz w:val="36"/>
          <w:szCs w:val="36"/>
        </w:rPr>
      </w:pPr>
      <w:bookmarkStart w:id="0" w:name="_GoBack"/>
      <w:bookmarkEnd w:id="0"/>
    </w:p>
    <w:tbl>
      <w:tblPr>
        <w:tblStyle w:val="8"/>
        <w:tblW w:w="13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3"/>
        <w:gridCol w:w="2700"/>
        <w:gridCol w:w="1046"/>
        <w:gridCol w:w="1414"/>
        <w:gridCol w:w="1655"/>
        <w:gridCol w:w="1812"/>
        <w:gridCol w:w="1549"/>
        <w:gridCol w:w="1399"/>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tblHeader/>
        </w:trPr>
        <w:tc>
          <w:tcPr>
            <w:tcW w:w="1083"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2700" w:type="dxa"/>
            <w:vMerge w:val="restart"/>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工程及费用名称</w:t>
            </w:r>
          </w:p>
        </w:tc>
        <w:tc>
          <w:tcPr>
            <w:tcW w:w="2460" w:type="dxa"/>
            <w:gridSpan w:val="2"/>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工程量</w:t>
            </w:r>
          </w:p>
        </w:tc>
        <w:tc>
          <w:tcPr>
            <w:tcW w:w="7695" w:type="dxa"/>
            <w:gridSpan w:val="5"/>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概算价值(万元)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blHeader/>
        </w:trPr>
        <w:tc>
          <w:tcPr>
            <w:tcW w:w="1083" w:type="dxa"/>
            <w:vMerge w:val="continue"/>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4"/>
                <w:szCs w:val="24"/>
                <w:u w:val="none"/>
              </w:rPr>
            </w:pPr>
          </w:p>
        </w:tc>
        <w:tc>
          <w:tcPr>
            <w:tcW w:w="2700" w:type="dxa"/>
            <w:vMerge w:val="continue"/>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4"/>
                <w:szCs w:val="24"/>
                <w:u w:val="none"/>
              </w:rPr>
            </w:pP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单位</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数量</w:t>
            </w:r>
          </w:p>
        </w:tc>
        <w:tc>
          <w:tcPr>
            <w:tcW w:w="1655"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建筑工程 费</w:t>
            </w:r>
          </w:p>
        </w:tc>
        <w:tc>
          <w:tcPr>
            <w:tcW w:w="181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安装工程 费</w:t>
            </w:r>
          </w:p>
        </w:tc>
        <w:tc>
          <w:tcPr>
            <w:tcW w:w="154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设备购置 费</w:t>
            </w:r>
          </w:p>
        </w:tc>
        <w:tc>
          <w:tcPr>
            <w:tcW w:w="139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其它费用</w:t>
            </w:r>
          </w:p>
        </w:tc>
        <w:tc>
          <w:tcPr>
            <w:tcW w:w="12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一</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建筑工程费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6666.42</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1778.29</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973</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9417.71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(一)</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衢萄酒教学实验实训基地</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5988.03</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1481.42</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704</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8173.46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建筑及装饰装修工程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5988.03</w:t>
            </w: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5988.03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合排水及消防工程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411.06</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234.19</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恰排水及消火栓、喷淋工程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411.06</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119.75</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530.81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气体灭火工程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114.44</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采暖及通风工程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276.14</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15.5</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采暖工程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218.72</w:t>
            </w: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通风工程</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57.41</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15.5</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电气工程</w:t>
            </w:r>
          </w:p>
        </w:tc>
        <w:tc>
          <w:tcPr>
            <w:tcW w:w="1046"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414"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642.12</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210.31</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852.43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强电工程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288. 36</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58.7</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27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弱电工程</w:t>
            </w:r>
          </w:p>
        </w:tc>
        <w:tc>
          <w:tcPr>
            <w:tcW w:w="1046" w:type="dxa"/>
            <w:tcBorders>
              <w:top w:val="single" w:color="000000" w:sz="8" w:space="0"/>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353.76</w:t>
            </w:r>
          </w:p>
        </w:tc>
        <w:tc>
          <w:tcPr>
            <w:tcW w:w="154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151.61</w:t>
            </w:r>
          </w:p>
        </w:tc>
        <w:tc>
          <w:tcPr>
            <w:tcW w:w="1399"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70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电梯工程</w:t>
            </w:r>
          </w:p>
        </w:tc>
        <w:tc>
          <w:tcPr>
            <w:tcW w:w="1046"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部</w:t>
            </w:r>
          </w:p>
        </w:tc>
        <w:tc>
          <w:tcPr>
            <w:tcW w:w="141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655"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244</w:t>
            </w:r>
          </w:p>
        </w:tc>
        <w:tc>
          <w:tcPr>
            <w:tcW w:w="1399"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客梯工程(3站)</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部</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客梯工程(9站)</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部</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144</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5.3</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货梯工程(9站)</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部</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抗震支架工程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152.11</w:t>
            </w: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（二）</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室外及其他工程</w:t>
            </w:r>
          </w:p>
        </w:tc>
        <w:tc>
          <w:tcPr>
            <w:tcW w:w="1046"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414"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678.39</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296.87</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269</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1244.25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广场砖道路</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4294.33</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101.39</w:t>
            </w: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混凝土道路</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10285.7</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157.07</w:t>
            </w: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花岗岩道牙</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1956.4</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27.93</w:t>
            </w: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碌化工程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8654.32</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86.54</w:t>
            </w: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水外网工程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228.57</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65.34</w:t>
            </w: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暖外网工程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30.35</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119.52</w:t>
            </w: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电外网工程</w:t>
            </w:r>
          </w:p>
        </w:tc>
        <w:tc>
          <w:tcPr>
            <w:tcW w:w="1046"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16"/>
                <w:szCs w:val="16"/>
                <w:u w:val="none"/>
              </w:rPr>
            </w:pPr>
            <w:r>
              <w:rPr>
                <w:rFonts w:hint="default" w:ascii="Times New Roman" w:hAnsi="Times New Roman" w:eastAsia="仿宋_GB2312" w:cs="Times New Roman"/>
                <w:i w:val="0"/>
                <w:color w:val="000000"/>
                <w:kern w:val="0"/>
                <w:sz w:val="16"/>
                <w:szCs w:val="16"/>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46.54</w:t>
            </w: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55.78</w:t>
            </w: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2" w:hRule="atLeast"/>
        </w:trPr>
        <w:tc>
          <w:tcPr>
            <w:tcW w:w="1083" w:type="dxa"/>
            <w:tcBorders>
              <w:top w:val="single" w:color="000000" w:sz="8" w:space="0"/>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27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水暖附属设备增容工程(不含锅炉设备)</w:t>
            </w:r>
          </w:p>
        </w:tc>
        <w:tc>
          <w:tcPr>
            <w:tcW w:w="104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54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85</w:t>
            </w:r>
          </w:p>
        </w:tc>
        <w:tc>
          <w:tcPr>
            <w:tcW w:w="1399" w:type="dxa"/>
            <w:tcBorders>
              <w:top w:val="single" w:color="000000" w:sz="8" w:space="0"/>
              <w:left w:val="single" w:color="000000" w:sz="8" w:space="0"/>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single" w:color="000000" w:sz="8" w:space="0"/>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270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变配电工程</w:t>
            </w:r>
          </w:p>
        </w:tc>
        <w:tc>
          <w:tcPr>
            <w:tcW w:w="1046"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414"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655"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41.22</w:t>
            </w:r>
          </w:p>
        </w:tc>
        <w:tc>
          <w:tcPr>
            <w:tcW w:w="154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184</w:t>
            </w:r>
          </w:p>
        </w:tc>
        <w:tc>
          <w:tcPr>
            <w:tcW w:w="1399" w:type="dxa"/>
            <w:tcBorders>
              <w:top w:val="single" w:color="000000" w:sz="8" w:space="0"/>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高压柜</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38.22</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167</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配电智能化系统</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54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139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二</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其他费用</w:t>
            </w:r>
          </w:p>
        </w:tc>
        <w:tc>
          <w:tcPr>
            <w:tcW w:w="1046"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414"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b/>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1035. 29</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1035.29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工程监理费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165.78</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地质勘察费(市场费率)</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37.67</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清单控制价编制及编制费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39.18</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竣工结算审核费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25.62</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竣工决算编审费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25.62</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项目建议书编制费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13.05</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可行性研究编制费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center"/>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26.09</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设计费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施工图审查费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9.6</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single" w:color="000000" w:sz="8" w:space="0"/>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270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编制环境影响报告书</w:t>
            </w:r>
          </w:p>
        </w:tc>
        <w:tc>
          <w:tcPr>
            <w:tcW w:w="104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single" w:color="000000" w:sz="8" w:space="0"/>
              <w:left w:val="single" w:color="000000" w:sz="8" w:space="0"/>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single" w:color="000000" w:sz="8" w:space="0"/>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single" w:color="000000" w:sz="8" w:space="0"/>
              <w:left w:val="single" w:color="000000" w:sz="8" w:space="0"/>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28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single" w:color="000000" w:sz="8" w:space="0"/>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270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招投标费</w:t>
            </w:r>
          </w:p>
        </w:tc>
        <w:tc>
          <w:tcPr>
            <w:tcW w:w="1046"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single" w:color="000000" w:sz="8" w:space="0"/>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single" w:color="000000" w:sz="8" w:space="0"/>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single" w:color="000000" w:sz="8" w:space="0"/>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280" w:type="dxa"/>
            <w:tcBorders>
              <w:top w:val="single" w:color="000000" w:sz="8" w:space="0"/>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工程保险费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9.42</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城市配套费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19014. 18</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142.61</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水土保持评价及鉴定费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检测试验费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9417.71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28.25</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高可靠供电费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KVA</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1600</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50.4</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17</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人防易地建设费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28.52</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林业评估费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19</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植被恢复费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建设用地有偿使用费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四通一平费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项目建设管理费(含全过程跟踪设计)</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10323.5</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129.49</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三</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基本预备费</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万元</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10453</w:t>
            </w:r>
          </w:p>
        </w:tc>
        <w:tc>
          <w:tcPr>
            <w:tcW w:w="1655"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b/>
                <w:i w:val="0"/>
                <w:color w:val="000000"/>
                <w:sz w:val="21"/>
                <w:szCs w:val="21"/>
                <w:u w:val="none"/>
              </w:rPr>
            </w:pPr>
          </w:p>
        </w:tc>
        <w:tc>
          <w:tcPr>
            <w:tcW w:w="1812"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b/>
                <w:i w:val="0"/>
                <w:color w:val="000000"/>
                <w:sz w:val="21"/>
                <w:szCs w:val="21"/>
                <w:u w:val="none"/>
              </w:rPr>
            </w:pPr>
          </w:p>
        </w:tc>
        <w:tc>
          <w:tcPr>
            <w:tcW w:w="1549" w:type="dxa"/>
            <w:tcBorders>
              <w:top w:val="nil"/>
              <w:left w:val="nil"/>
              <w:bottom w:val="single" w:color="000000" w:sz="8" w:space="0"/>
              <w:right w:val="single" w:color="000000" w:sz="8" w:space="0"/>
            </w:tcBorders>
            <w:vAlign w:val="bottom"/>
          </w:tcPr>
          <w:p>
            <w:pPr>
              <w:spacing w:line="280" w:lineRule="exact"/>
              <w:jc w:val="center"/>
              <w:rPr>
                <w:rFonts w:hint="default" w:ascii="Times New Roman" w:hAnsi="Times New Roman" w:eastAsia="仿宋_GB2312" w:cs="Times New Roman"/>
                <w:b/>
                <w:i w:val="0"/>
                <w:color w:val="000000"/>
                <w:sz w:val="21"/>
                <w:szCs w:val="21"/>
                <w:u w:val="none"/>
              </w:rPr>
            </w:pPr>
          </w:p>
        </w:tc>
        <w:tc>
          <w:tcPr>
            <w:tcW w:w="1399"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313.59</w:t>
            </w:r>
          </w:p>
        </w:tc>
        <w:tc>
          <w:tcPr>
            <w:tcW w:w="128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313.59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3" w:type="dxa"/>
            <w:tcBorders>
              <w:top w:val="nil"/>
              <w:left w:val="single" w:color="000000" w:sz="8" w:space="0"/>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四</w:t>
            </w:r>
          </w:p>
        </w:tc>
        <w:tc>
          <w:tcPr>
            <w:tcW w:w="2700"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工程总投资</w:t>
            </w:r>
          </w:p>
        </w:tc>
        <w:tc>
          <w:tcPr>
            <w:tcW w:w="1046"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w:t>
            </w:r>
          </w:p>
        </w:tc>
        <w:tc>
          <w:tcPr>
            <w:tcW w:w="1414" w:type="dxa"/>
            <w:tcBorders>
              <w:top w:val="nil"/>
              <w:left w:val="nil"/>
              <w:bottom w:val="single" w:color="000000" w:sz="8" w:space="0"/>
              <w:right w:val="single" w:color="000000" w:sz="8" w:space="0"/>
            </w:tcBorders>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19014.18</w:t>
            </w:r>
          </w:p>
        </w:tc>
        <w:tc>
          <w:tcPr>
            <w:tcW w:w="1655"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6666.42</w:t>
            </w:r>
          </w:p>
        </w:tc>
        <w:tc>
          <w:tcPr>
            <w:tcW w:w="1812"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1778.29</w:t>
            </w:r>
          </w:p>
        </w:tc>
        <w:tc>
          <w:tcPr>
            <w:tcW w:w="1549"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973</w:t>
            </w:r>
          </w:p>
        </w:tc>
        <w:tc>
          <w:tcPr>
            <w:tcW w:w="1399"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1348.88</w:t>
            </w:r>
          </w:p>
        </w:tc>
        <w:tc>
          <w:tcPr>
            <w:tcW w:w="1280" w:type="dxa"/>
            <w:tcBorders>
              <w:top w:val="nil"/>
              <w:left w:val="nil"/>
              <w:bottom w:val="single" w:color="000000" w:sz="8" w:space="0"/>
              <w:right w:val="single" w:color="000000" w:sz="8" w:space="0"/>
            </w:tcBorders>
            <w:vAlign w:val="bottom"/>
          </w:tcPr>
          <w:p>
            <w:pPr>
              <w:keepNext w:val="0"/>
              <w:keepLines w:val="0"/>
              <w:widowControl/>
              <w:suppressLineNumbers w:val="0"/>
              <w:spacing w:line="280" w:lineRule="exact"/>
              <w:jc w:val="center"/>
              <w:textAlignment w:val="bottom"/>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10766.59</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between w:val="none" w:color="auto" w:sz="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- 1 -</w:t>
                          </w:r>
                          <w:r>
                            <w:rPr>
                              <w:rFonts w:hint="eastAsia" w:ascii="宋体" w:hAnsi="宋体" w:eastAsia="宋体"/>
                              <w:sz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pBdr>
                        <w:between w:val="none" w:color="auto" w:sz="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- 1 -</w:t>
                    </w:r>
                    <w:r>
                      <w:rPr>
                        <w:rFonts w:hint="eastAsia" w:ascii="宋体" w:hAnsi="宋体" w:eastAsia="宋体"/>
                        <w:sz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D326C"/>
    <w:rsid w:val="0EFD531D"/>
    <w:rsid w:val="736D32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Char"/>
    <w:qFormat/>
    <w:uiPriority w:val="0"/>
    <w:pPr>
      <w:numPr>
        <w:ilvl w:val="0"/>
        <w:numId w:val="0"/>
      </w:numPr>
      <w:tabs>
        <w:tab w:val="left" w:pos="840"/>
      </w:tabs>
      <w:overflowPunct/>
      <w:autoSpaceDE/>
      <w:autoSpaceDN/>
      <w:adjustRightInd/>
      <w:snapToGrid/>
      <w:spacing w:before="0" w:beforeLines="0" w:line="240" w:lineRule="auto"/>
    </w:pPr>
    <w:rPr>
      <w:rFonts w:ascii="Times New Roman" w:hAnsi="Times New Roman" w:eastAsia="宋体" w:cs="Times New Roman"/>
      <w:kern w:val="2"/>
      <w:sz w:val="21"/>
      <w:szCs w:val="24"/>
      <w:lang w:val="en-US"/>
    </w:rPr>
  </w:style>
  <w:style w:type="paragraph" w:styleId="3">
    <w:name w:val="footer"/>
    <w:basedOn w:val="1"/>
    <w:uiPriority w:val="0"/>
    <w:pPr>
      <w:tabs>
        <w:tab w:val="center" w:pos="4153"/>
        <w:tab w:val="right" w:pos="8306"/>
      </w:tabs>
      <w:snapToGrid w:val="0"/>
      <w:jc w:val="left"/>
    </w:pPr>
    <w:rPr>
      <w:rFonts w:eastAsia="仿宋_GB2312"/>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styleId="5">
    <w:name w:val="Body Text Indent 3"/>
    <w:basedOn w:val="1"/>
    <w:uiPriority w:val="0"/>
    <w:pPr>
      <w:tabs>
        <w:tab w:val="left" w:pos="2100"/>
      </w:tabs>
      <w:spacing w:line="480" w:lineRule="exact"/>
      <w:ind w:left="1264" w:leftChars="100" w:hanging="948" w:hangingChars="300"/>
    </w:pPr>
    <w:rPr>
      <w:bCs/>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2021-11-22T01:32:00Z</dcterms:created>
  <dc:creator>沈妍红</dc:creator>
  <cp:lastModifiedBy>沈妍红</cp:lastModifiedBy>
  <dcterms:modified xsi:type="dcterms:W3CDTF">2021-11-22T01:34:17Z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