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autoSpaceDE w:val="0"/>
        <w:spacing w:line="560" w:lineRule="exact"/>
        <w:jc w:val="both"/>
        <w:textAlignment w:val="baseline"/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szCs w:val="22"/>
          <w:lang w:eastAsia="zh-CN"/>
        </w:rPr>
        <w:t>附件</w:t>
      </w:r>
    </w:p>
    <w:tbl>
      <w:tblPr>
        <w:tblStyle w:val="6"/>
        <w:tblW w:w="133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8"/>
        <w:gridCol w:w="1164"/>
        <w:gridCol w:w="809"/>
        <w:gridCol w:w="4751"/>
        <w:gridCol w:w="810"/>
        <w:gridCol w:w="1050"/>
        <w:gridCol w:w="855"/>
        <w:gridCol w:w="1230"/>
        <w:gridCol w:w="861"/>
        <w:gridCol w:w="11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" w:hRule="atLeast"/>
        </w:trPr>
        <w:tc>
          <w:tcPr>
            <w:tcW w:w="13320" w:type="dxa"/>
            <w:gridSpan w:val="10"/>
            <w:tcBorders>
              <w:top w:val="nil"/>
              <w:left w:val="nil"/>
              <w:bottom w:val="single" w:color="000000" w:sz="8" w:space="0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宁夏杞乡750千伏变电站330千伏送出工程项目表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" w:hRule="atLeast"/>
        </w:trPr>
        <w:tc>
          <w:tcPr>
            <w:tcW w:w="61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16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55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项目建设内容</w:t>
            </w:r>
          </w:p>
        </w:tc>
        <w:tc>
          <w:tcPr>
            <w:tcW w:w="4806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投资规模及资金来源</w:t>
            </w:r>
          </w:p>
        </w:tc>
        <w:tc>
          <w:tcPr>
            <w:tcW w:w="117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61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4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9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建设地点   </w:t>
            </w:r>
          </w:p>
        </w:tc>
        <w:tc>
          <w:tcPr>
            <w:tcW w:w="4751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建设规模及主要设备选型</w:t>
            </w:r>
          </w:p>
        </w:tc>
        <w:tc>
          <w:tcPr>
            <w:tcW w:w="810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项目法人</w:t>
            </w:r>
          </w:p>
        </w:tc>
        <w:tc>
          <w:tcPr>
            <w:tcW w:w="1905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静态投资</w:t>
            </w:r>
          </w:p>
        </w:tc>
        <w:tc>
          <w:tcPr>
            <w:tcW w:w="2091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动态投资及投资构成</w:t>
            </w:r>
          </w:p>
        </w:tc>
        <w:tc>
          <w:tcPr>
            <w:tcW w:w="1172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宁夏杞乡750千伏变电站330千伏送出工程</w:t>
            </w:r>
          </w:p>
        </w:tc>
        <w:tc>
          <w:tcPr>
            <w:tcW w:w="8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宁夏中宁县、青铜峡市</w:t>
            </w:r>
          </w:p>
        </w:tc>
        <w:tc>
          <w:tcPr>
            <w:tcW w:w="47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1.建设330千伏大枣线、大枣Ⅱ线开断环入杞乡750千伏变电站线路工程，新建线路19.3公里，导线截面2×630平方毫米。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2.建设330千伏大坝电厂～侯桥Ⅰ线、黄河～侯桥Ⅲ线改接入杞乡变线路工程，新建线路78公里，导线截面2×630平方毫米。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3.改造侯桥变相应间隔出线侧接地开关及配套通信和系统二次工程。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国网宁夏电力有限公司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静态投资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22408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动态投资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22831</w:t>
            </w:r>
          </w:p>
        </w:tc>
        <w:tc>
          <w:tcPr>
            <w:tcW w:w="11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宁电经研〔2021〕101号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其中：工程本体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20841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其中：资本金（占20%）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4566.2</w:t>
            </w: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征地费*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贷款             （占80%）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18264.8</w:t>
            </w: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00"/>
    <w:family w:val="auto"/>
    <w:pitch w:val="default"/>
    <w:sig w:usb0="00000000" w:usb1="00000000" w:usb2="00000010" w:usb3="00000000" w:csb0="000400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BB309D"/>
    <w:rsid w:val="5CBB309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eastAsia="仿宋_GB2312"/>
      <w:kern w:val="2"/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仿宋_GB2312"/>
      <w:kern w:val="2"/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2021-12-10T01:44:00Z</dcterms:created>
  <dc:creator>沈妍红</dc:creator>
  <cp:lastModifiedBy>沈妍红</cp:lastModifiedBy>
  <dcterms:modified xsi:type="dcterms:W3CDTF">2021-12-10T01:45:20Z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