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5A24AF">
      <w:pPr>
        <w:widowControl w:val="0"/>
        <w:numPr>
          <w:ilvl w:val="0"/>
          <w:numId w:val="0"/>
        </w:numPr>
        <w:spacing w:line="240" w:lineRule="auto"/>
        <w:jc w:val="both"/>
        <w:rPr>
          <w:rFonts w:hint="eastAsia" w:ascii="黑体" w:hAnsi="黑体" w:eastAsia="黑体" w:cs="黑体"/>
          <w:lang w:val="en-US" w:eastAsia="zh-CN"/>
        </w:rPr>
      </w:pPr>
      <w:r>
        <w:rPr>
          <w:rFonts w:hint="eastAsia" w:ascii="黑体" w:hAnsi="黑体" w:eastAsia="黑体" w:cs="黑体"/>
          <w:lang w:val="en-US" w:eastAsia="zh-CN"/>
        </w:rPr>
        <w:t>附件1</w:t>
      </w:r>
    </w:p>
    <w:p w14:paraId="29D6BF38">
      <w:pPr>
        <w:widowControl w:val="0"/>
        <w:numPr>
          <w:ilvl w:val="0"/>
          <w:numId w:val="0"/>
        </w:numPr>
        <w:spacing w:line="640" w:lineRule="exact"/>
        <w:jc w:val="center"/>
        <w:rPr>
          <w:rFonts w:hint="eastAsia" w:ascii="方正小标宋_GBK" w:hAnsi="方正小标宋_GBK" w:eastAsia="方正小标宋_GBK" w:cs="方正小标宋_GBK"/>
          <w:spacing w:val="7"/>
          <w:kern w:val="44"/>
          <w:sz w:val="44"/>
          <w:szCs w:val="44"/>
          <w:shd w:val="clear" w:color="auto" w:fill="FFFFFF"/>
          <w:lang w:bidi="ar"/>
        </w:rPr>
      </w:pPr>
      <w:bookmarkStart w:id="0" w:name="_GoBack"/>
      <w:r>
        <w:rPr>
          <w:rFonts w:hint="eastAsia" w:ascii="方正小标宋_GBK" w:hAnsi="方正小标宋_GBK" w:eastAsia="方正小标宋_GBK" w:cs="方正小标宋_GBK"/>
          <w:spacing w:val="7"/>
          <w:kern w:val="44"/>
          <w:sz w:val="44"/>
          <w:szCs w:val="44"/>
          <w:shd w:val="clear" w:color="auto" w:fill="FFFFFF"/>
          <w:lang w:bidi="ar"/>
        </w:rPr>
        <w:t>宁夏独立储能参与中长期市场交易方案</w:t>
      </w:r>
      <w:bookmarkEnd w:id="0"/>
    </w:p>
    <w:p w14:paraId="3D2E53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rPr>
      </w:pPr>
    </w:p>
    <w:p w14:paraId="15124D6E">
      <w:pPr>
        <w:pStyle w:val="4"/>
        <w:spacing w:line="560" w:lineRule="exact"/>
        <w:rPr>
          <w:rFonts w:hint="eastAsia"/>
          <w:lang w:val="en-US" w:eastAsia="zh-CN"/>
        </w:rPr>
      </w:pPr>
      <w:r>
        <w:rPr>
          <w:rFonts w:hint="eastAsia"/>
          <w:lang w:val="en-US" w:eastAsia="zh-CN"/>
        </w:rPr>
        <w:t>为贯彻落实国家关于加快推动新型储能发展的政策部署，根据《国家发展改革委 国家能源局关于加快推动新型储能发展的指导意见》（发改能源规〔2021〕1051号）、《国家发展改革委办公厅 国家能源局综合司关于进一步推动新型储能参与电力市场和调度运用的通知》(发改办运行〔2022〕475号)，为做好独立储能参与中长期电力市场，结合宁夏电力市场实际，现就有关事项通知如下。</w:t>
      </w:r>
    </w:p>
    <w:p w14:paraId="5AE7965D">
      <w:pPr>
        <w:pStyle w:val="2"/>
        <w:keepNext w:val="0"/>
        <w:keepLines w:val="0"/>
        <w:widowControl w:val="0"/>
        <w:spacing w:line="560" w:lineRule="exact"/>
        <w:rPr>
          <w:rFonts w:hint="eastAsia"/>
          <w:lang w:eastAsia="zh-CN"/>
        </w:rPr>
      </w:pPr>
      <w:r>
        <w:rPr>
          <w:rFonts w:hint="eastAsia"/>
          <w:lang w:eastAsia="zh-CN"/>
        </w:rPr>
        <w:t>一、总体原则</w:t>
      </w:r>
    </w:p>
    <w:p w14:paraId="79BCC79F">
      <w:pPr>
        <w:pStyle w:val="4"/>
        <w:spacing w:line="560" w:lineRule="exact"/>
        <w:rPr>
          <w:rFonts w:hint="eastAsia"/>
          <w:lang w:val="en-US" w:eastAsia="zh-CN"/>
        </w:rPr>
      </w:pPr>
      <w:r>
        <w:rPr>
          <w:rFonts w:hint="eastAsia"/>
          <w:lang w:val="en-US" w:eastAsia="zh-CN"/>
        </w:rPr>
        <w:t>1.现货市场连续运行前，在储能参与中长期电能量市场的同时，可同步享受调峰辅助服务补偿，中长期电能量合同按照“照付不议、偏差结算”的原则结算，调峰价格按西北能源监管局和我委出台文件为准。现货市场连续运营运行后，储能可参与现货电能量交易及调频辅助服务交易，推动建立储能容量补偿机制，鼓励储能产业健康平稳发展。</w:t>
      </w:r>
    </w:p>
    <w:p w14:paraId="5F70561C">
      <w:pPr>
        <w:pStyle w:val="4"/>
        <w:spacing w:line="560" w:lineRule="exact"/>
        <w:rPr>
          <w:rFonts w:hint="eastAsia"/>
          <w:lang w:val="en-US" w:eastAsia="zh-CN"/>
        </w:rPr>
      </w:pPr>
      <w:r>
        <w:rPr>
          <w:rFonts w:hint="eastAsia"/>
          <w:lang w:val="en-US" w:eastAsia="zh-CN"/>
        </w:rPr>
        <w:t>2.本通知适用于宁夏现货市场连续运行前区内独立储能参与宁夏中长期电力市场交易，未尽事宜按照宁夏中长期电力市场相关规则要求执行。</w:t>
      </w:r>
    </w:p>
    <w:p w14:paraId="49C0A649">
      <w:pPr>
        <w:pStyle w:val="4"/>
        <w:spacing w:line="560" w:lineRule="exact"/>
        <w:rPr>
          <w:rFonts w:hint="eastAsia"/>
          <w:lang w:val="en-US" w:eastAsia="zh-CN"/>
        </w:rPr>
      </w:pPr>
      <w:r>
        <w:rPr>
          <w:rFonts w:hint="eastAsia"/>
          <w:lang w:val="en-US" w:eastAsia="zh-CN"/>
        </w:rPr>
        <w:t>3.独立储能指具备独立计量、控制等技术条件，接入调度自动化系统可被电网监控和调度，符合相关标准规范和电力市场运营机构等有关方面要求，具有独立</w:t>
      </w:r>
      <w:r>
        <w:rPr>
          <w:rFonts w:hint="eastAsia"/>
          <w:lang w:eastAsia="zh-CN"/>
        </w:rPr>
        <w:t>法人资格的</w:t>
      </w:r>
      <w:r>
        <w:rPr>
          <w:rFonts w:hint="eastAsia"/>
          <w:lang w:val="en-US" w:eastAsia="zh-CN"/>
        </w:rPr>
        <w:t>新型</w:t>
      </w:r>
      <w:r>
        <w:rPr>
          <w:rFonts w:hint="eastAsia"/>
          <w:lang w:eastAsia="zh-CN"/>
        </w:rPr>
        <w:t>储能企业。</w:t>
      </w:r>
    </w:p>
    <w:p w14:paraId="2F4AEF33">
      <w:pPr>
        <w:pStyle w:val="4"/>
        <w:spacing w:line="560" w:lineRule="exact"/>
        <w:rPr>
          <w:rFonts w:hint="eastAsia"/>
          <w:lang w:eastAsia="zh-CN"/>
        </w:rPr>
      </w:pPr>
      <w:r>
        <w:rPr>
          <w:rFonts w:hint="eastAsia"/>
          <w:lang w:val="en-US" w:eastAsia="zh-CN"/>
        </w:rPr>
        <w:t>4.独立储能作为独立经营主体参与电力市场；配建储能通过技术改造满足同等技术条件和安全标准，可选择转为独立储能参与宁夏中长期电力市场交易。</w:t>
      </w:r>
    </w:p>
    <w:p w14:paraId="7630B1B6">
      <w:pPr>
        <w:pStyle w:val="4"/>
        <w:spacing w:line="560" w:lineRule="exact"/>
        <w:rPr>
          <w:rFonts w:hint="eastAsia"/>
        </w:rPr>
      </w:pPr>
      <w:r>
        <w:rPr>
          <w:rFonts w:hint="eastAsia"/>
          <w:lang w:val="en-US" w:eastAsia="zh-CN"/>
        </w:rPr>
        <w:t>5.</w:t>
      </w:r>
      <w:r>
        <w:rPr>
          <w:rFonts w:hint="eastAsia"/>
          <w:lang w:eastAsia="zh-CN"/>
        </w:rPr>
        <w:t>独立储能</w:t>
      </w:r>
      <w:r>
        <w:rPr>
          <w:rFonts w:hint="eastAsia"/>
        </w:rPr>
        <w:t>应严格遵守市场规则，自觉自律，不得操纵市场价格、损害其他</w:t>
      </w:r>
      <w:r>
        <w:rPr>
          <w:rFonts w:hint="eastAsia"/>
          <w:lang w:eastAsia="zh-CN"/>
        </w:rPr>
        <w:t>经营主体</w:t>
      </w:r>
      <w:r>
        <w:rPr>
          <w:rFonts w:hint="eastAsia"/>
        </w:rPr>
        <w:t>的利益。</w:t>
      </w:r>
    </w:p>
    <w:p w14:paraId="06C09C62">
      <w:pPr>
        <w:pStyle w:val="2"/>
        <w:keepNext w:val="0"/>
        <w:keepLines w:val="0"/>
        <w:widowControl w:val="0"/>
        <w:spacing w:line="560" w:lineRule="exact"/>
        <w:rPr>
          <w:rFonts w:hint="eastAsia"/>
          <w:lang w:val="en-US" w:eastAsia="zh-CN"/>
        </w:rPr>
      </w:pPr>
      <w:r>
        <w:rPr>
          <w:rFonts w:hint="eastAsia"/>
          <w:lang w:val="en-US" w:eastAsia="zh-CN"/>
        </w:rPr>
        <w:t>二、独立储能权利与义务</w:t>
      </w:r>
    </w:p>
    <w:p w14:paraId="1A69689D">
      <w:pPr>
        <w:pStyle w:val="4"/>
        <w:spacing w:line="560" w:lineRule="exact"/>
        <w:rPr>
          <w:rFonts w:hint="eastAsia"/>
          <w:lang w:val="en-US" w:eastAsia="zh-CN"/>
        </w:rPr>
      </w:pPr>
      <w:r>
        <w:rPr>
          <w:rFonts w:hint="eastAsia"/>
          <w:lang w:val="en-US" w:eastAsia="zh-CN"/>
        </w:rPr>
        <w:t>1.按规则参与电力市场交易，签订和履行各类交易合同、购售电合同和相关市场交易合同，按时完成电费结算；</w:t>
      </w:r>
    </w:p>
    <w:p w14:paraId="5BAF5955">
      <w:pPr>
        <w:pStyle w:val="4"/>
        <w:spacing w:line="560" w:lineRule="exact"/>
        <w:rPr>
          <w:rFonts w:hint="eastAsia"/>
          <w:lang w:val="en-US" w:eastAsia="zh-CN"/>
        </w:rPr>
      </w:pPr>
      <w:r>
        <w:rPr>
          <w:rFonts w:hint="eastAsia"/>
          <w:lang w:val="en-US" w:eastAsia="zh-CN"/>
        </w:rPr>
        <w:t>2.提供市场交易所必须的电力电量需求、典型曲线及相关生产信息；</w:t>
      </w:r>
    </w:p>
    <w:p w14:paraId="3F25B169">
      <w:pPr>
        <w:pStyle w:val="4"/>
        <w:spacing w:line="560" w:lineRule="exact"/>
        <w:rPr>
          <w:rFonts w:hint="eastAsia"/>
          <w:lang w:val="en-US" w:eastAsia="zh-CN"/>
        </w:rPr>
      </w:pPr>
      <w:r>
        <w:rPr>
          <w:rFonts w:hint="eastAsia"/>
          <w:lang w:val="en-US" w:eastAsia="zh-CN"/>
        </w:rPr>
        <w:t>3.获得公平的输电服务和电网接入服务；</w:t>
      </w:r>
    </w:p>
    <w:p w14:paraId="02937778">
      <w:pPr>
        <w:pStyle w:val="4"/>
        <w:spacing w:line="560" w:lineRule="exact"/>
        <w:rPr>
          <w:rFonts w:hint="eastAsia"/>
          <w:lang w:val="en-US" w:eastAsia="zh-CN"/>
        </w:rPr>
      </w:pPr>
      <w:r>
        <w:rPr>
          <w:rFonts w:hint="eastAsia"/>
          <w:lang w:val="en-US" w:eastAsia="zh-CN"/>
        </w:rPr>
        <w:t>4.执行并网调度协议，服从电力调度机构的统一调度，在系统特殊运行状况下或电力供不应求时，按电力调度机构要求安排用电；</w:t>
      </w:r>
    </w:p>
    <w:p w14:paraId="5286DC63">
      <w:pPr>
        <w:pStyle w:val="4"/>
        <w:spacing w:line="560" w:lineRule="exact"/>
        <w:rPr>
          <w:rFonts w:hint="eastAsia"/>
          <w:lang w:val="en-US" w:eastAsia="zh-CN"/>
        </w:rPr>
      </w:pPr>
      <w:r>
        <w:rPr>
          <w:rFonts w:hint="eastAsia"/>
          <w:lang w:val="en-US" w:eastAsia="zh-CN"/>
        </w:rPr>
        <w:t>5.按规定披露和提供信息，获得市场交易和输配电服务等相关信息；</w:t>
      </w:r>
    </w:p>
    <w:p w14:paraId="432030DD">
      <w:pPr>
        <w:pStyle w:val="4"/>
        <w:spacing w:line="560" w:lineRule="exact"/>
        <w:rPr>
          <w:rFonts w:hint="eastAsia"/>
          <w:lang w:val="en-US" w:eastAsia="zh-CN"/>
        </w:rPr>
      </w:pPr>
      <w:r>
        <w:rPr>
          <w:rFonts w:hint="eastAsia"/>
          <w:lang w:val="en-US" w:eastAsia="zh-CN"/>
        </w:rPr>
        <w:t>6.法律法规规定的其他权利和义务。</w:t>
      </w:r>
    </w:p>
    <w:p w14:paraId="3AEDE05F">
      <w:pPr>
        <w:pStyle w:val="2"/>
        <w:keepNext w:val="0"/>
        <w:keepLines w:val="0"/>
        <w:widowControl w:val="0"/>
        <w:spacing w:line="560" w:lineRule="exact"/>
        <w:rPr>
          <w:rFonts w:hint="eastAsia"/>
          <w:lang w:val="en-US" w:eastAsia="zh-CN"/>
        </w:rPr>
      </w:pPr>
      <w:r>
        <w:rPr>
          <w:rFonts w:hint="eastAsia"/>
          <w:lang w:val="en-US" w:eastAsia="zh-CN"/>
        </w:rPr>
        <w:t>三、市场注册</w:t>
      </w:r>
    </w:p>
    <w:p w14:paraId="666F08B7">
      <w:pPr>
        <w:pStyle w:val="3"/>
        <w:keepNext w:val="0"/>
        <w:keepLines w:val="0"/>
        <w:widowControl w:val="0"/>
        <w:spacing w:line="560" w:lineRule="exact"/>
        <w:rPr>
          <w:rFonts w:hint="eastAsia"/>
          <w:lang w:val="en-US" w:eastAsia="zh-CN"/>
        </w:rPr>
      </w:pPr>
      <w:r>
        <w:rPr>
          <w:rFonts w:hint="eastAsia"/>
          <w:lang w:val="en-US" w:eastAsia="zh-CN"/>
        </w:rPr>
        <w:t>（一）注册条件</w:t>
      </w:r>
    </w:p>
    <w:p w14:paraId="60F9431A">
      <w:pPr>
        <w:pStyle w:val="4"/>
        <w:spacing w:line="560" w:lineRule="exact"/>
        <w:rPr>
          <w:rFonts w:hint="eastAsia"/>
          <w:lang w:val="en-US" w:eastAsia="zh-CN"/>
        </w:rPr>
      </w:pPr>
      <w:r>
        <w:rPr>
          <w:rFonts w:hint="eastAsia"/>
          <w:lang w:val="en-US" w:eastAsia="zh-CN"/>
        </w:rPr>
        <w:t>独立储能注册应满足以下条件：</w:t>
      </w:r>
    </w:p>
    <w:p w14:paraId="4021FF28">
      <w:pPr>
        <w:pStyle w:val="4"/>
        <w:spacing w:line="560" w:lineRule="exact"/>
        <w:rPr>
          <w:rFonts w:hint="eastAsia"/>
          <w:lang w:val="en-US" w:eastAsia="zh-CN"/>
        </w:rPr>
      </w:pPr>
      <w:r>
        <w:rPr>
          <w:rFonts w:hint="eastAsia"/>
          <w:lang w:val="en-US" w:eastAsia="zh-CN"/>
        </w:rPr>
        <w:t>1.应当是具有法人资格、财务独立核算、信用良好、能够独立承担民事责任的实体企业。内部核算的企业经法人单位授权，可以参与交易；</w:t>
      </w:r>
    </w:p>
    <w:p w14:paraId="11D9BC3C">
      <w:pPr>
        <w:pStyle w:val="4"/>
        <w:spacing w:line="560" w:lineRule="exact"/>
        <w:rPr>
          <w:rFonts w:hint="eastAsia"/>
          <w:lang w:val="en-US" w:eastAsia="zh-CN"/>
        </w:rPr>
      </w:pPr>
      <w:r>
        <w:rPr>
          <w:rFonts w:hint="eastAsia"/>
          <w:lang w:val="en-US" w:eastAsia="zh-CN"/>
        </w:rPr>
        <w:t>2.签订并网调度协议，取得调度命名文件，接入调度自动化系统可被电网监控和调度；</w:t>
      </w:r>
    </w:p>
    <w:p w14:paraId="1963424F">
      <w:pPr>
        <w:pStyle w:val="4"/>
        <w:spacing w:line="560" w:lineRule="exact"/>
        <w:rPr>
          <w:rFonts w:hint="eastAsia"/>
          <w:lang w:val="en-US" w:eastAsia="zh-CN"/>
        </w:rPr>
      </w:pPr>
      <w:r>
        <w:rPr>
          <w:rFonts w:hint="eastAsia"/>
          <w:lang w:val="en-US" w:eastAsia="zh-CN"/>
        </w:rPr>
        <w:t>3.具备电力、电量数据分时计量和传输条件，数据准确性与可靠性满足要求；</w:t>
      </w:r>
    </w:p>
    <w:p w14:paraId="0601B676">
      <w:pPr>
        <w:pStyle w:val="4"/>
        <w:spacing w:line="560" w:lineRule="exact"/>
        <w:rPr>
          <w:rFonts w:hint="eastAsia"/>
          <w:lang w:val="en-US" w:eastAsia="zh-CN"/>
        </w:rPr>
      </w:pPr>
      <w:r>
        <w:rPr>
          <w:rFonts w:hint="eastAsia"/>
          <w:lang w:val="en-US" w:eastAsia="zh-CN"/>
        </w:rPr>
        <w:t>4.按照规定签订供用电合同、购售电合同；</w:t>
      </w:r>
    </w:p>
    <w:p w14:paraId="452114CD">
      <w:pPr>
        <w:pStyle w:val="4"/>
        <w:spacing w:line="560" w:lineRule="exact"/>
        <w:rPr>
          <w:rFonts w:hint="eastAsia"/>
          <w:lang w:val="en-US" w:eastAsia="zh-CN"/>
        </w:rPr>
      </w:pPr>
      <w:r>
        <w:rPr>
          <w:rFonts w:hint="eastAsia"/>
          <w:lang w:val="en-US" w:eastAsia="zh-CN"/>
        </w:rPr>
        <w:t>5.政府核准文件（备案文件）。</w:t>
      </w:r>
    </w:p>
    <w:p w14:paraId="22087905">
      <w:pPr>
        <w:pStyle w:val="3"/>
        <w:keepNext w:val="0"/>
        <w:keepLines w:val="0"/>
        <w:widowControl w:val="0"/>
        <w:spacing w:line="560" w:lineRule="exact"/>
        <w:rPr>
          <w:rFonts w:hint="eastAsia"/>
          <w:lang w:val="en-US" w:eastAsia="zh-CN"/>
        </w:rPr>
      </w:pPr>
      <w:r>
        <w:rPr>
          <w:rFonts w:hint="eastAsia"/>
          <w:lang w:val="en-US" w:eastAsia="zh-CN"/>
        </w:rPr>
        <w:t>（二）市场注册</w:t>
      </w:r>
    </w:p>
    <w:p w14:paraId="5FC9E8BF">
      <w:pPr>
        <w:pStyle w:val="4"/>
        <w:spacing w:line="560" w:lineRule="exact"/>
        <w:rPr>
          <w:rFonts w:hint="eastAsia"/>
          <w:lang w:val="en-US" w:eastAsia="zh-CN"/>
        </w:rPr>
      </w:pPr>
      <w:r>
        <w:rPr>
          <w:rFonts w:hint="eastAsia"/>
          <w:lang w:val="en-US" w:eastAsia="zh-CN"/>
        </w:rPr>
        <w:t>1.满足准入条件的独立储能企业可通过宁夏电力交易平台办理市场注册，须对注册信息及提供资料的真实性、准确性、完整性负责。</w:t>
      </w:r>
    </w:p>
    <w:p w14:paraId="5D2D4685">
      <w:pPr>
        <w:pStyle w:val="4"/>
        <w:spacing w:line="560" w:lineRule="exact"/>
        <w:rPr>
          <w:rFonts w:hint="eastAsia"/>
          <w:lang w:val="en-US" w:eastAsia="zh-CN"/>
        </w:rPr>
      </w:pPr>
      <w:r>
        <w:rPr>
          <w:rFonts w:hint="eastAsia"/>
          <w:lang w:val="en-US" w:eastAsia="zh-CN"/>
        </w:rPr>
        <w:t>2.独立储能注册信息发生变更，应当在信息变更后5个工作日内通过交易平台提交信息变更申请，履行变更手续。涉及物理运行参数变更的，在电力调度机构完成变更后，同步通过交易平台变更相关信息；涉及用电户号信息变更的，在电网企业完成变更后，同步通过交易平台变更相关信息。</w:t>
      </w:r>
    </w:p>
    <w:p w14:paraId="683DB6D1">
      <w:pPr>
        <w:pStyle w:val="4"/>
        <w:spacing w:line="560" w:lineRule="exact"/>
        <w:rPr>
          <w:rFonts w:hint="eastAsia"/>
          <w:lang w:val="en-US" w:eastAsia="zh-CN"/>
        </w:rPr>
      </w:pPr>
      <w:r>
        <w:rPr>
          <w:rFonts w:hint="eastAsia"/>
          <w:lang w:val="en-US" w:eastAsia="zh-CN"/>
        </w:rPr>
        <w:t>3.已在交易平台注册的独立储能需在交易平台补充满足商业运营条件的文件以及入市声明，电力交易机构审核通过后，可参与次月市场交易。</w:t>
      </w:r>
    </w:p>
    <w:p w14:paraId="22ABB97C">
      <w:pPr>
        <w:pStyle w:val="3"/>
        <w:keepNext w:val="0"/>
        <w:keepLines w:val="0"/>
        <w:widowControl w:val="0"/>
        <w:spacing w:line="560" w:lineRule="exact"/>
        <w:rPr>
          <w:rFonts w:hint="eastAsia"/>
          <w:lang w:val="en-US" w:eastAsia="zh-CN"/>
        </w:rPr>
      </w:pPr>
      <w:r>
        <w:rPr>
          <w:rFonts w:hint="eastAsia"/>
          <w:lang w:val="en-US" w:eastAsia="zh-CN"/>
        </w:rPr>
        <w:t>（三）市场注销</w:t>
      </w:r>
    </w:p>
    <w:p w14:paraId="1461D682">
      <w:pPr>
        <w:pStyle w:val="4"/>
        <w:spacing w:line="560" w:lineRule="exact"/>
        <w:rPr>
          <w:rFonts w:hint="eastAsia"/>
          <w:lang w:val="en-US" w:eastAsia="zh-CN"/>
        </w:rPr>
      </w:pPr>
      <w:r>
        <w:rPr>
          <w:rFonts w:hint="eastAsia"/>
          <w:lang w:val="en-US" w:eastAsia="zh-CN"/>
        </w:rPr>
        <w:t>1.独立储能满足下述情况之一的可办理自愿退市（市场注销）手续：</w:t>
      </w:r>
    </w:p>
    <w:p w14:paraId="2F1127F6">
      <w:pPr>
        <w:pStyle w:val="4"/>
        <w:spacing w:line="560" w:lineRule="exact"/>
        <w:rPr>
          <w:rFonts w:hint="eastAsia"/>
          <w:lang w:val="en-US" w:eastAsia="zh-CN"/>
        </w:rPr>
      </w:pPr>
      <w:r>
        <w:rPr>
          <w:rFonts w:hint="eastAsia"/>
          <w:lang w:val="en-US" w:eastAsia="zh-CN"/>
        </w:rPr>
        <w:t>（1）经营主体宣告破产，独立储能主体（项目）不再运行；</w:t>
      </w:r>
    </w:p>
    <w:p w14:paraId="50940247">
      <w:pPr>
        <w:pStyle w:val="4"/>
        <w:spacing w:line="560" w:lineRule="exact"/>
        <w:rPr>
          <w:rFonts w:hint="eastAsia"/>
          <w:lang w:val="en-US" w:eastAsia="zh-CN"/>
        </w:rPr>
      </w:pPr>
      <w:r>
        <w:rPr>
          <w:rFonts w:hint="eastAsia"/>
          <w:lang w:val="en-US" w:eastAsia="zh-CN"/>
        </w:rPr>
        <w:t>（2）因国家政策、电力市场规则发生重大调整，导致原有独立储能主体（项目）非自身原因无法继续参加市场的情况等。</w:t>
      </w:r>
    </w:p>
    <w:p w14:paraId="6B012404">
      <w:pPr>
        <w:pStyle w:val="4"/>
        <w:spacing w:line="560" w:lineRule="exact"/>
        <w:rPr>
          <w:rFonts w:hint="eastAsia"/>
          <w:lang w:val="en-US" w:eastAsia="zh-CN"/>
        </w:rPr>
      </w:pPr>
      <w:r>
        <w:rPr>
          <w:rFonts w:hint="eastAsia"/>
          <w:lang w:val="en-US" w:eastAsia="zh-CN"/>
        </w:rPr>
        <w:t>（3）因电网网架调整，导致独立储能的发用电物理属性无法满足所在地区的市场准入条件。</w:t>
      </w:r>
    </w:p>
    <w:p w14:paraId="52C18540">
      <w:pPr>
        <w:pStyle w:val="4"/>
        <w:spacing w:line="560" w:lineRule="exact"/>
        <w:rPr>
          <w:rFonts w:hint="eastAsia"/>
          <w:lang w:val="en-US" w:eastAsia="zh-CN"/>
        </w:rPr>
      </w:pPr>
      <w:r>
        <w:rPr>
          <w:rFonts w:hint="eastAsia"/>
          <w:lang w:val="en-US" w:eastAsia="zh-CN"/>
        </w:rPr>
        <w:t>2.自愿退市的独立储能主体应按照国家及自治区相关规定，提前向电力交易机构提出退市申请。已参与电力市场交易的独立储能主体，应提前45个工作日向电力交易机构提交退出申请，终止交易月之前（含当月），相关交易合同由该储能主体（项目）继续履行，或通过自主协商的方式完成交易合同处理。</w:t>
      </w:r>
    </w:p>
    <w:p w14:paraId="25AC19FF">
      <w:pPr>
        <w:pStyle w:val="4"/>
        <w:spacing w:line="560" w:lineRule="exact"/>
        <w:rPr>
          <w:rFonts w:hint="eastAsia"/>
          <w:lang w:val="en-US" w:eastAsia="zh-CN"/>
        </w:rPr>
      </w:pPr>
      <w:r>
        <w:rPr>
          <w:rFonts w:hint="eastAsia"/>
          <w:lang w:val="en-US" w:eastAsia="zh-CN"/>
        </w:rPr>
        <w:t>3.电力交易机构完</w:t>
      </w:r>
      <w:r>
        <w:rPr>
          <w:rFonts w:hint="eastAsia"/>
        </w:rPr>
        <w:t>成对</w:t>
      </w:r>
      <w:r>
        <w:rPr>
          <w:rFonts w:hint="eastAsia"/>
          <w:lang w:eastAsia="zh-CN"/>
        </w:rPr>
        <w:t>独立</w:t>
      </w:r>
      <w:r>
        <w:rPr>
          <w:rFonts w:hint="eastAsia"/>
        </w:rPr>
        <w:t>储能主体的注销申请信息核验后，通过电力交易平台公示</w:t>
      </w:r>
      <w:r>
        <w:rPr>
          <w:rFonts w:hint="eastAsia"/>
          <w:lang w:val="en-US" w:eastAsia="zh-CN"/>
        </w:rPr>
        <w:t>10</w:t>
      </w:r>
      <w:r>
        <w:rPr>
          <w:rFonts w:hint="eastAsia"/>
        </w:rPr>
        <w:t>个工作日，公示</w:t>
      </w:r>
      <w:r>
        <w:rPr>
          <w:rFonts w:hint="eastAsia"/>
          <w:lang w:eastAsia="zh-CN"/>
        </w:rPr>
        <w:t>期满</w:t>
      </w:r>
      <w:r>
        <w:rPr>
          <w:rFonts w:hint="eastAsia"/>
        </w:rPr>
        <w:t>无异议</w:t>
      </w:r>
      <w:r>
        <w:rPr>
          <w:rFonts w:hint="eastAsia"/>
          <w:lang w:eastAsia="zh-CN"/>
        </w:rPr>
        <w:t>，在交易平台中予以注销</w:t>
      </w:r>
      <w:r>
        <w:rPr>
          <w:rFonts w:hint="eastAsia"/>
        </w:rPr>
        <w:t>。公示期间如果存在异议，则</w:t>
      </w:r>
      <w:r>
        <w:rPr>
          <w:rFonts w:hint="eastAsia"/>
          <w:lang w:val="en-US" w:eastAsia="zh-CN"/>
        </w:rPr>
        <w:t>驳回</w:t>
      </w:r>
      <w:r>
        <w:rPr>
          <w:rFonts w:hint="eastAsia"/>
        </w:rPr>
        <w:t>注销</w:t>
      </w:r>
      <w:r>
        <w:rPr>
          <w:rFonts w:hint="eastAsia"/>
          <w:lang w:val="en-US" w:eastAsia="zh-CN"/>
        </w:rPr>
        <w:t>申请</w:t>
      </w:r>
      <w:r>
        <w:rPr>
          <w:rFonts w:hint="eastAsia"/>
        </w:rPr>
        <w:t>，待异议处理完成后，</w:t>
      </w:r>
      <w:r>
        <w:rPr>
          <w:rFonts w:hint="eastAsia"/>
          <w:lang w:eastAsia="zh-CN"/>
        </w:rPr>
        <w:t>独立</w:t>
      </w:r>
      <w:r>
        <w:rPr>
          <w:rFonts w:hint="eastAsia"/>
        </w:rPr>
        <w:t>储能主体再次申请注销。</w:t>
      </w:r>
    </w:p>
    <w:p w14:paraId="2ED09376">
      <w:pPr>
        <w:pStyle w:val="4"/>
        <w:spacing w:line="560" w:lineRule="exact"/>
        <w:rPr>
          <w:rFonts w:hint="eastAsia"/>
          <w:lang w:val="en-US" w:eastAsia="zh-CN"/>
        </w:rPr>
      </w:pPr>
      <w:r>
        <w:rPr>
          <w:rFonts w:hint="eastAsia"/>
          <w:lang w:val="en-US" w:eastAsia="zh-CN"/>
        </w:rPr>
        <w:t>4.</w:t>
      </w:r>
      <w:r>
        <w:rPr>
          <w:rFonts w:hint="eastAsia"/>
        </w:rPr>
        <w:t>经电力主管部门或能源监管机构认定，或电力交易机构上报后经认定强制退市的</w:t>
      </w:r>
      <w:r>
        <w:rPr>
          <w:rFonts w:hint="eastAsia"/>
          <w:lang w:eastAsia="zh-CN"/>
        </w:rPr>
        <w:t>独立储能</w:t>
      </w:r>
      <w:r>
        <w:rPr>
          <w:rFonts w:hint="eastAsia"/>
        </w:rPr>
        <w:t>主体，列入强制退市名单，公示</w:t>
      </w:r>
      <w:r>
        <w:rPr>
          <w:rFonts w:hint="eastAsia"/>
          <w:lang w:val="en-US" w:eastAsia="zh-CN"/>
        </w:rPr>
        <w:t>10</w:t>
      </w:r>
      <w:r>
        <w:rPr>
          <w:rFonts w:hint="eastAsia"/>
        </w:rPr>
        <w:t>个工作日，公示通过后退市生效。存在以下情形的，强制退出市场：</w:t>
      </w:r>
    </w:p>
    <w:p w14:paraId="65FD8B2A">
      <w:pPr>
        <w:pStyle w:val="4"/>
        <w:spacing w:line="560" w:lineRule="exact"/>
        <w:rPr>
          <w:rFonts w:hint="eastAsia"/>
          <w:lang w:val="en-US" w:eastAsia="zh-CN"/>
        </w:rPr>
      </w:pPr>
      <w:r>
        <w:rPr>
          <w:rFonts w:hint="eastAsia"/>
          <w:lang w:val="en-US" w:eastAsia="zh-CN"/>
        </w:rPr>
        <w:t>（1）依法被撤销、解散、工商注销等导致不再符合准入条件；</w:t>
      </w:r>
    </w:p>
    <w:p w14:paraId="75F29ED1">
      <w:pPr>
        <w:pStyle w:val="4"/>
        <w:spacing w:line="560" w:lineRule="exact"/>
        <w:rPr>
          <w:rFonts w:hint="eastAsia"/>
          <w:lang w:val="en-US" w:eastAsia="zh-CN"/>
        </w:rPr>
      </w:pPr>
      <w:r>
        <w:rPr>
          <w:rFonts w:hint="eastAsia"/>
          <w:lang w:val="en-US" w:eastAsia="zh-CN"/>
        </w:rPr>
        <w:t>（2）隐瞒有关情况或者提供虚假申请材料等方式违规进入市场，拒不整改的；</w:t>
      </w:r>
    </w:p>
    <w:p w14:paraId="236A2153">
      <w:pPr>
        <w:pStyle w:val="4"/>
        <w:spacing w:line="560" w:lineRule="exact"/>
        <w:rPr>
          <w:rFonts w:hint="eastAsia"/>
          <w:lang w:val="en-US" w:eastAsia="zh-CN"/>
        </w:rPr>
      </w:pPr>
      <w:r>
        <w:rPr>
          <w:rFonts w:hint="eastAsia"/>
          <w:lang w:val="en-US" w:eastAsia="zh-CN"/>
        </w:rPr>
        <w:t>（3）严重违反市场交易规则，拒不整改的；</w:t>
      </w:r>
    </w:p>
    <w:p w14:paraId="3F6CDAD9">
      <w:pPr>
        <w:pStyle w:val="4"/>
        <w:spacing w:line="560" w:lineRule="exact"/>
        <w:rPr>
          <w:rFonts w:hint="eastAsia"/>
          <w:lang w:val="en-US" w:eastAsia="zh-CN"/>
        </w:rPr>
      </w:pPr>
      <w:r>
        <w:rPr>
          <w:rFonts w:hint="eastAsia"/>
          <w:lang w:val="en-US" w:eastAsia="zh-CN"/>
        </w:rPr>
        <w:t>（4）企业违反信用承诺或信用评价降低为不适合继续参与市场交易的；</w:t>
      </w:r>
    </w:p>
    <w:p w14:paraId="7ACEBAA6">
      <w:pPr>
        <w:pStyle w:val="4"/>
        <w:spacing w:line="560" w:lineRule="exact"/>
        <w:rPr>
          <w:rFonts w:hint="eastAsia"/>
          <w:lang w:val="en-US" w:eastAsia="zh-CN"/>
        </w:rPr>
      </w:pPr>
      <w:r>
        <w:rPr>
          <w:rFonts w:hint="eastAsia"/>
          <w:lang w:val="en-US" w:eastAsia="zh-CN"/>
        </w:rPr>
        <w:t>（5）不具备安全生产条件，不满足调度并网要求的；</w:t>
      </w:r>
    </w:p>
    <w:p w14:paraId="2BE4A3F5">
      <w:pPr>
        <w:pStyle w:val="4"/>
        <w:spacing w:line="560" w:lineRule="exact"/>
        <w:rPr>
          <w:rFonts w:hint="eastAsia"/>
          <w:lang w:val="en-US" w:eastAsia="zh-CN"/>
        </w:rPr>
      </w:pPr>
      <w:r>
        <w:rPr>
          <w:rFonts w:hint="eastAsia"/>
          <w:lang w:val="en-US" w:eastAsia="zh-CN"/>
        </w:rPr>
        <w:t>（6）违反法律、法规规定的其他情形。</w:t>
      </w:r>
    </w:p>
    <w:p w14:paraId="15271A3B">
      <w:pPr>
        <w:pStyle w:val="2"/>
        <w:keepNext w:val="0"/>
        <w:keepLines w:val="0"/>
        <w:widowControl w:val="0"/>
        <w:spacing w:line="560" w:lineRule="exact"/>
        <w:rPr>
          <w:rFonts w:hint="eastAsia"/>
          <w:lang w:val="en-US" w:eastAsia="zh-CN"/>
        </w:rPr>
      </w:pPr>
      <w:r>
        <w:rPr>
          <w:rFonts w:hint="eastAsia"/>
          <w:lang w:val="en-US" w:eastAsia="zh-CN"/>
        </w:rPr>
        <w:t>四、交易组织</w:t>
      </w:r>
    </w:p>
    <w:p w14:paraId="5033BFC1">
      <w:pPr>
        <w:pStyle w:val="4"/>
        <w:spacing w:line="560" w:lineRule="exact"/>
        <w:rPr>
          <w:rFonts w:hint="eastAsia"/>
          <w:lang w:val="en-US" w:eastAsia="zh-CN"/>
        </w:rPr>
      </w:pPr>
      <w:r>
        <w:rPr>
          <w:rFonts w:hint="eastAsia"/>
          <w:lang w:val="en-US" w:eastAsia="zh-CN"/>
        </w:rPr>
        <w:t>1.独立储能参与中长期电力市场期间以发电（放电）和用户（充电）双重身份分别参与市场交易，初期不参与零售市场。</w:t>
      </w:r>
    </w:p>
    <w:p w14:paraId="78E85A1A">
      <w:pPr>
        <w:pStyle w:val="4"/>
        <w:spacing w:line="560" w:lineRule="exact"/>
        <w:rPr>
          <w:rFonts w:hint="eastAsia"/>
          <w:lang w:val="en-US" w:eastAsia="zh-CN"/>
        </w:rPr>
      </w:pPr>
      <w:r>
        <w:rPr>
          <w:rFonts w:hint="eastAsia"/>
          <w:lang w:val="en-US" w:eastAsia="zh-CN"/>
        </w:rPr>
        <w:t>2.同一交易周期、交易标的，储能仅可作为购电方或售电方参与交易。储能以额定容量作为参与中长期交易的边界条件，单笔交易中的购电量不超过其最大充电能力，售电量不超过其最大可放电能力。</w:t>
      </w:r>
    </w:p>
    <w:p w14:paraId="7C8A954C">
      <w:pPr>
        <w:pStyle w:val="2"/>
        <w:keepNext w:val="0"/>
        <w:keepLines w:val="0"/>
        <w:widowControl w:val="0"/>
        <w:spacing w:line="560" w:lineRule="exact"/>
        <w:rPr>
          <w:rFonts w:hint="eastAsia"/>
          <w:lang w:val="en-US" w:eastAsia="zh-CN"/>
        </w:rPr>
      </w:pPr>
      <w:r>
        <w:rPr>
          <w:rFonts w:hint="eastAsia"/>
          <w:lang w:val="en-US" w:eastAsia="zh-CN"/>
        </w:rPr>
        <w:t>五、安全校核与交易执行</w:t>
      </w:r>
    </w:p>
    <w:p w14:paraId="3AF7DA55">
      <w:pPr>
        <w:pStyle w:val="4"/>
        <w:spacing w:line="560" w:lineRule="exact"/>
        <w:rPr>
          <w:rFonts w:hint="eastAsia"/>
          <w:lang w:val="en-US" w:eastAsia="zh-CN"/>
        </w:rPr>
      </w:pPr>
      <w:r>
        <w:rPr>
          <w:rFonts w:hint="eastAsia"/>
          <w:lang w:val="en-US" w:eastAsia="zh-CN"/>
        </w:rPr>
        <w:t>1.参与中长期电力市场交易的独立储能，在电力系统正常运行时，原则上按照中长期交易结果运行；在电网安全控制、电力供应紧张、新能源消纳困难及其他必要情况时，由电力调度机构按需实施调度。</w:t>
      </w:r>
    </w:p>
    <w:p w14:paraId="204721B3">
      <w:pPr>
        <w:pStyle w:val="4"/>
        <w:spacing w:line="560" w:lineRule="exact"/>
        <w:rPr>
          <w:rFonts w:hint="eastAsia"/>
          <w:lang w:val="en-US" w:eastAsia="zh-CN"/>
        </w:rPr>
      </w:pPr>
      <w:r>
        <w:rPr>
          <w:rFonts w:hint="eastAsia"/>
          <w:lang w:val="en-US" w:eastAsia="zh-CN"/>
        </w:rPr>
        <w:t>2.月度交易组织完毕后，电力交易机构在3个工作日内将包括储能在内的中长期交易合同电力曲线提交电力调度机构，对储能中长期交易无约束出清结果进行安全校核，并在1个工作日内将校核结果反馈电力交易机构。</w:t>
      </w:r>
    </w:p>
    <w:p w14:paraId="24AE52EE">
      <w:pPr>
        <w:pStyle w:val="4"/>
        <w:spacing w:line="560" w:lineRule="exact"/>
        <w:rPr>
          <w:rFonts w:hint="eastAsia"/>
          <w:lang w:val="en-US" w:eastAsia="zh-CN"/>
        </w:rPr>
      </w:pPr>
      <w:r>
        <w:rPr>
          <w:rFonts w:hint="eastAsia"/>
          <w:lang w:val="en-US" w:eastAsia="zh-CN"/>
        </w:rPr>
        <w:t>3.储能日融合交易组织完毕后，电力交易机构在1个工作日内将包括储能在内的中长期交易合同电力曲线提交电力调度机构，对储能中长期交易无约束出清结果进行安全校核，并在1个工作日内将校核结果反馈电力交易机构。</w:t>
      </w:r>
    </w:p>
    <w:p w14:paraId="0BD05101">
      <w:pPr>
        <w:pStyle w:val="4"/>
        <w:spacing w:line="560" w:lineRule="exact"/>
        <w:rPr>
          <w:rFonts w:hint="eastAsia"/>
          <w:lang w:val="en-US" w:eastAsia="zh-CN"/>
        </w:rPr>
      </w:pPr>
      <w:r>
        <w:rPr>
          <w:rFonts w:hint="eastAsia"/>
          <w:lang w:val="en-US" w:eastAsia="zh-CN"/>
        </w:rPr>
        <w:t>4.电力交易机构将安全校核后的有约束出清结果，向电力调度机构及经营主体发布，并作为储能参与中长期交易计划执行和结算的依据。</w:t>
      </w:r>
    </w:p>
    <w:p w14:paraId="20D6376E">
      <w:pPr>
        <w:pStyle w:val="2"/>
        <w:keepNext w:val="0"/>
        <w:keepLines w:val="0"/>
        <w:widowControl w:val="0"/>
        <w:spacing w:line="560" w:lineRule="exact"/>
        <w:rPr>
          <w:rFonts w:hint="eastAsia"/>
          <w:lang w:val="en-US" w:eastAsia="zh-CN"/>
        </w:rPr>
      </w:pPr>
      <w:r>
        <w:rPr>
          <w:rFonts w:hint="eastAsia"/>
          <w:lang w:val="en-US" w:eastAsia="zh-CN"/>
        </w:rPr>
        <w:t>六、计量和结算</w:t>
      </w:r>
    </w:p>
    <w:p w14:paraId="6BB70BD7">
      <w:pPr>
        <w:pStyle w:val="4"/>
        <w:spacing w:line="560" w:lineRule="exact"/>
        <w:rPr>
          <w:rFonts w:hint="eastAsia"/>
          <w:lang w:val="en-US" w:eastAsia="zh-CN"/>
        </w:rPr>
      </w:pPr>
      <w:r>
        <w:rPr>
          <w:rFonts w:hint="eastAsia"/>
          <w:lang w:val="en-US" w:eastAsia="zh-CN"/>
        </w:rPr>
        <w:t>1.电网企业应当根据市场运行需要为储能安装符合技术规范的计量装置。分别计量储能用电量及上网电量，计量周期和抄表时间应当保证最小交易结算周期需要。</w:t>
      </w:r>
    </w:p>
    <w:p w14:paraId="496DDD48">
      <w:pPr>
        <w:pStyle w:val="4"/>
        <w:spacing w:line="560" w:lineRule="exact"/>
        <w:rPr>
          <w:rFonts w:hint="eastAsia"/>
          <w:lang w:val="en-US" w:eastAsia="zh-CN"/>
        </w:rPr>
      </w:pPr>
      <w:r>
        <w:rPr>
          <w:rFonts w:hint="eastAsia"/>
          <w:lang w:val="en-US" w:eastAsia="zh-CN"/>
        </w:rPr>
        <w:t>2.电网企业应通过系统将独立储能的分时段用电量和上网电量计量数据传输至电力交易机构，确保计量数据完整、准确。</w:t>
      </w:r>
    </w:p>
    <w:p w14:paraId="6B2E2B08">
      <w:pPr>
        <w:pStyle w:val="4"/>
        <w:spacing w:line="560" w:lineRule="exact"/>
        <w:rPr>
          <w:rFonts w:hint="eastAsia"/>
          <w:lang w:val="en-US" w:eastAsia="zh-CN"/>
        </w:rPr>
      </w:pPr>
      <w:r>
        <w:rPr>
          <w:rFonts w:hint="eastAsia"/>
          <w:lang w:val="en-US" w:eastAsia="zh-CN"/>
        </w:rPr>
        <w:t>3.当电量数据有异议时，由电网企业组织相关经营主体协商解决。</w:t>
      </w:r>
    </w:p>
    <w:p w14:paraId="140D53D3">
      <w:pPr>
        <w:pStyle w:val="4"/>
        <w:spacing w:line="560" w:lineRule="exact"/>
        <w:rPr>
          <w:rFonts w:hint="eastAsia"/>
          <w:lang w:val="en-US" w:eastAsia="zh-CN"/>
        </w:rPr>
      </w:pPr>
      <w:r>
        <w:rPr>
          <w:rFonts w:hint="eastAsia"/>
          <w:lang w:val="en-US" w:eastAsia="zh-CN"/>
        </w:rPr>
        <w:t>4.独立储能参与中长期市场期间，按照“照付不议、偏差结算”的原则，发、用两侧解耦结算，采用日清月结的结算方式，以日为周期开展分时段电量清分、电费计算，按月结算并发布结算依据。</w:t>
      </w:r>
    </w:p>
    <w:p w14:paraId="3D0F8513">
      <w:pPr>
        <w:pStyle w:val="4"/>
        <w:spacing w:line="560" w:lineRule="exact"/>
        <w:rPr>
          <w:rFonts w:hint="eastAsia"/>
          <w:lang w:val="en-US" w:eastAsia="zh-CN"/>
        </w:rPr>
      </w:pPr>
      <w:r>
        <w:rPr>
          <w:rFonts w:hint="eastAsia"/>
          <w:lang w:val="en-US" w:eastAsia="zh-CN"/>
        </w:rPr>
        <w:t>5.独立储能发、用两侧主体暂</w:t>
      </w:r>
      <w:r>
        <w:rPr>
          <w:rFonts w:hint="eastAsia"/>
        </w:rPr>
        <w:t>不执行</w:t>
      </w:r>
      <w:r>
        <w:rPr>
          <w:rFonts w:hint="eastAsia"/>
          <w:lang w:val="en-US" w:eastAsia="zh-CN"/>
        </w:rPr>
        <w:t>交易电量</w:t>
      </w:r>
      <w:r>
        <w:rPr>
          <w:rFonts w:hint="eastAsia"/>
        </w:rPr>
        <w:t>70%比例要求</w:t>
      </w:r>
      <w:r>
        <w:rPr>
          <w:rFonts w:hint="eastAsia"/>
          <w:lang w:eastAsia="zh-CN"/>
        </w:rPr>
        <w:t>。</w:t>
      </w:r>
      <w:r>
        <w:rPr>
          <w:rFonts w:hint="eastAsia"/>
          <w:lang w:val="en-US" w:eastAsia="zh-CN"/>
        </w:rPr>
        <w:t>储能主体用电侧和发电侧的偏差电量，均按该储能主体当日对应时段所有交易合同加权平均电价进行结算；如该储能主体对应时段无市场化交易合同，按当日对应时段全市场日融合交易加权价进行结算。</w:t>
      </w:r>
    </w:p>
    <w:p w14:paraId="315FAD24">
      <w:pPr>
        <w:pStyle w:val="4"/>
        <w:spacing w:line="560" w:lineRule="exact"/>
        <w:rPr>
          <w:rFonts w:hint="eastAsia"/>
          <w:lang w:val="en-US" w:eastAsia="zh-CN"/>
        </w:rPr>
      </w:pPr>
      <w:r>
        <w:rPr>
          <w:rFonts w:hint="eastAsia"/>
          <w:lang w:val="en-US" w:eastAsia="zh-CN"/>
        </w:rPr>
        <w:t>6.独立储能参与中长期电力市场期间，暂不参与宁夏电力市场不平衡资金分摊。</w:t>
      </w:r>
    </w:p>
    <w:p w14:paraId="2C8B5844">
      <w:pPr>
        <w:pStyle w:val="2"/>
        <w:keepNext w:val="0"/>
        <w:keepLines w:val="0"/>
        <w:widowControl w:val="0"/>
        <w:spacing w:line="560" w:lineRule="exact"/>
        <w:rPr>
          <w:rFonts w:hint="eastAsia"/>
          <w:lang w:val="en-US" w:eastAsia="zh-CN"/>
        </w:rPr>
      </w:pPr>
      <w:r>
        <w:rPr>
          <w:rFonts w:hint="eastAsia"/>
          <w:lang w:val="en-US" w:eastAsia="zh-CN"/>
        </w:rPr>
        <w:t>七、相关要求</w:t>
      </w:r>
    </w:p>
    <w:p w14:paraId="07E76E5B">
      <w:pPr>
        <w:pStyle w:val="4"/>
        <w:spacing w:line="560" w:lineRule="exact"/>
        <w:rPr>
          <w:rFonts w:hint="eastAsia"/>
          <w:lang w:val="en-US" w:eastAsia="zh-CN"/>
        </w:rPr>
      </w:pPr>
      <w:r>
        <w:rPr>
          <w:rFonts w:hint="eastAsia"/>
          <w:b/>
          <w:bCs/>
          <w:lang w:val="en-US" w:eastAsia="zh-CN"/>
        </w:rPr>
        <w:t>（一）加强市场交易组织协同。</w:t>
      </w:r>
      <w:r>
        <w:rPr>
          <w:rFonts w:hint="eastAsia"/>
          <w:lang w:val="en-US" w:eastAsia="zh-CN"/>
        </w:rPr>
        <w:t>电力交易机构、电力调度机构要进一步发挥电力市场运营机构职能作用，不断提升市场运营能力和服务水平。电力调度机构应在满足系统安全运行约束、新能源优先消纳的前提下，提高中长期市场合同履约率。充分发挥电力市场管理委员会议事协调作用，保障市场主体合法权益。</w:t>
      </w:r>
    </w:p>
    <w:p w14:paraId="30C914FB">
      <w:pPr>
        <w:pStyle w:val="4"/>
        <w:spacing w:line="560" w:lineRule="exact"/>
        <w:rPr>
          <w:rFonts w:hint="eastAsia"/>
          <w:lang w:val="en-US" w:eastAsia="zh-CN"/>
        </w:rPr>
      </w:pPr>
      <w:r>
        <w:rPr>
          <w:rFonts w:hint="eastAsia"/>
          <w:b/>
          <w:bCs/>
          <w:lang w:val="en-US" w:eastAsia="zh-CN"/>
        </w:rPr>
        <w:t>（二）加强市场风险分析研判。</w:t>
      </w:r>
      <w:r>
        <w:rPr>
          <w:rFonts w:hint="eastAsia"/>
          <w:lang w:val="en-US" w:eastAsia="zh-CN"/>
        </w:rPr>
        <w:t>各市场主体要加强交易队伍建设，提高交易业务人员理论水平和技术能力，认真研读交易规则，分析研判电力供需形势、一次能源价格波动对电力市场运行的影响，根据自身实际发用电需求，制定合理的报价策略，做好市场交易工作。</w:t>
      </w:r>
    </w:p>
    <w:p w14:paraId="20576D51">
      <w:pPr>
        <w:pStyle w:val="4"/>
        <w:spacing w:line="560" w:lineRule="exact"/>
        <w:rPr>
          <w:rFonts w:hint="eastAsia"/>
          <w:lang w:val="en-US" w:eastAsia="zh-CN"/>
        </w:rPr>
      </w:pPr>
      <w:r>
        <w:rPr>
          <w:rFonts w:hint="eastAsia"/>
          <w:lang w:val="en-US" w:eastAsia="zh-CN"/>
        </w:rPr>
        <w:t>（三）本通知相关内容及交易结算根据国家政策及区内电力市场运行情况适时调整，以往与本通知规定不一致的，以本通知为准。如遇国家或区内政策调整，按最新政策执行。</w:t>
      </w:r>
    </w:p>
    <w:p w14:paraId="0C7B431D">
      <w:r>
        <w:rPr>
          <w:rFonts w:hint="eastAsia"/>
          <w:lang w:val="en-US" w:eastAsia="zh-CN"/>
        </w:rPr>
        <w:t>（四）本通知执行中如遇有关问题和情况，请及时向自治区发展改革委报告，或与电力交易机构联系。</w:t>
      </w:r>
    </w:p>
    <w:sectPr>
      <w:pgSz w:w="11906" w:h="16838"/>
      <w:pgMar w:top="1157" w:right="1576" w:bottom="1157"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63F61"/>
    <w:rsid w:val="00262736"/>
    <w:rsid w:val="08D176AB"/>
    <w:rsid w:val="0AA57C01"/>
    <w:rsid w:val="1A7301D5"/>
    <w:rsid w:val="1D7E5CF3"/>
    <w:rsid w:val="4B9D08F1"/>
    <w:rsid w:val="59F2017A"/>
    <w:rsid w:val="67063F61"/>
    <w:rsid w:val="6EDE1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next w:val="1"/>
    <w:unhideWhenUsed/>
    <w:qFormat/>
    <w:uiPriority w:val="9"/>
    <w:pPr>
      <w:keepNext/>
      <w:keepLines/>
      <w:spacing w:after="0" w:line="640" w:lineRule="exact"/>
      <w:ind w:right="164" w:firstLine="880" w:firstLineChars="200"/>
      <w:outlineLvl w:val="0"/>
    </w:pPr>
    <w:rPr>
      <w:rFonts w:ascii="Times New Roman" w:hAnsi="Times New Roman" w:eastAsia="黑体" w:cs="微软雅黑"/>
      <w:color w:val="000000"/>
      <w:kern w:val="2"/>
      <w:sz w:val="32"/>
      <w:szCs w:val="22"/>
      <w:lang w:val="en-US" w:eastAsia="zh-CN" w:bidi="ar-SA"/>
    </w:rPr>
  </w:style>
  <w:style w:type="paragraph" w:styleId="3">
    <w:name w:val="heading 2"/>
    <w:next w:val="1"/>
    <w:unhideWhenUsed/>
    <w:qFormat/>
    <w:uiPriority w:val="9"/>
    <w:pPr>
      <w:keepNext/>
      <w:keepLines/>
      <w:spacing w:after="0" w:line="640" w:lineRule="exact"/>
      <w:ind w:left="0" w:firstLine="880" w:firstLineChars="200"/>
      <w:outlineLvl w:val="1"/>
    </w:pPr>
    <w:rPr>
      <w:rFonts w:ascii="Times New Roman" w:hAnsi="Times New Roman" w:eastAsia="楷体_GB2312" w:cs="黑体"/>
      <w:b/>
      <w:color w:val="000000"/>
      <w:kern w:val="2"/>
      <w:sz w:val="32"/>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unhideWhenUsed/>
    <w:qFormat/>
    <w:uiPriority w:val="99"/>
    <w:pPr>
      <w:spacing w:after="0" w:line="560" w:lineRule="exact"/>
      <w:ind w:firstLine="420" w:firstLineChars="200"/>
    </w:pPr>
    <w:rPr>
      <w:rFonts w:ascii="Times New Roman" w:hAnsi="Times New Roman" w:eastAsia="仿宋_GB2312"/>
    </w:rPr>
  </w:style>
  <w:style w:type="paragraph" w:styleId="5">
    <w:name w:val="header"/>
    <w:basedOn w:val="1"/>
    <w:uiPriority w:val="0"/>
    <w:pPr>
      <w:pBdr>
        <w:bottom w:val="single" w:color="auto" w:sz="6" w:space="1"/>
      </w:pBdr>
      <w:tabs>
        <w:tab w:val="center" w:pos="4153"/>
        <w:tab w:val="right" w:pos="8306"/>
      </w:tabs>
      <w:snapToGrid w:val="0"/>
      <w:jc w:val="center"/>
    </w:pPr>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2024-12-20T08:25:00Z</dcterms:created>
  <dc:creator>刘乐</dc:creator>
  <cp:lastModifiedBy>刘乐</cp:lastModifiedBy>
  <dcterms:modified xsi:type="dcterms:W3CDTF">2024-12-20T08:25:39Z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04F38C423DC2476F80C01035EE11DFF6_11</vt:lpwstr>
  </property>
</Properties>
</file>