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bookmarkStart w:id="231"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03.100.20</w:t>
            </w:r>
            <w:r>
              <w:rPr>
                <w:rFonts w:ascii="黑体" w:hAnsi="黑体" w:eastAsia="黑体"/>
                <w:sz w:val="21"/>
                <w:szCs w:val="21"/>
              </w:rPr>
              <w:fldChar w:fldCharType="end"/>
            </w:r>
            <w:bookmarkEnd w:id="231"/>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A10</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64</w:t>
            </w:r>
            <w:r>
              <w:fldChar w:fldCharType="end"/>
            </w:r>
            <w:bookmarkEnd w:id="3"/>
          </w:p>
        </w:tc>
      </w:tr>
    </w:tbl>
    <w:p>
      <w:pPr>
        <w:pStyle w:val="53"/>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宁夏回族自治区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64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9"/>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CgAAAAAAh07iQAAAAAAAAAAAAAAAAAQAAAAAAAAAAAAQAAAAFgAAAGRycy9Q&#10;SwECFAAUAAAACACHTuJAu+DKZuUBAACsAwAADgAAAAAAAAABACAAAAA9AQAAZHJzL2Uyb0RvYy54&#10;bWxQSwECFAAUAAAACACHTuJAJ4NJltgAAAAMAQAADwAAAAAAAAABACAAAAA4AAAAZHJzL2Rvd25y&#10;ZXYueG1sUEsFBgAAAAAGAAYAWQEAAJQFA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hint="eastAsia" w:ascii="黑体" w:hAnsi="黑体" w:eastAsia="黑体"/>
          <w:b w:val="0"/>
          <w:bCs w:val="0"/>
          <w:w w:val="100"/>
        </w:rPr>
      </w:pPr>
    </w:p>
    <w:p>
      <w:pPr>
        <w:pStyle w:val="200"/>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营商环境评价基本规范</w:t>
      </w: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Basic norms for business environment evaluation</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4"/>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宁夏回族自治区市场监督管理厅</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CgAAAAAAh07iQAAAAAAAAAAAAAAAAAQAAAAAAAAAAAAQAAAAFgAAAGRycy9QSwEC&#10;FAAUAAAACACHTuJAWS4lmOMBAACqAwAADgAAAAAAAAABACAAAAA8AQAAZHJzL2Uyb0RvYy54bWxQ&#10;SwECFAAUAAAACACHTuJAqzMc+9cAAAAOAQAADwAAAAAAAAABACAAAAA4AAAAZHJzL2Rvd25yZXYu&#10;eG1sUEsFBgAAAAAGAAYAWQEAAJEFAAAAAA==&#10;">
                <v:fill on="f" focussize="0,0"/>
                <v:stroke color="#000000" joinstyle="round"/>
                <v:imagedata o:title=""/>
                <o:lock v:ext="edit" aspectratio="f"/>
                <w10:anchorlock/>
              </v:line>
            </w:pict>
          </mc:Fallback>
        </mc:AlternateContent>
      </w:r>
    </w:p>
    <w:p>
      <w:pPr>
        <w:pStyle w:val="94"/>
        <w:spacing w:after="468"/>
      </w:pPr>
      <w:bookmarkStart w:id="21" w:name="BookMark1"/>
      <w:bookmarkStart w:id="22" w:name="_Toc196128135"/>
      <w:bookmarkStart w:id="23" w:name="_Toc184306385"/>
      <w:r>
        <w:rPr>
          <w:rFonts w:hint="eastAsia"/>
          <w:spacing w:val="320"/>
        </w:rPr>
        <w:t>目</w:t>
      </w:r>
      <w:r>
        <w:rPr>
          <w:rFonts w:hint="eastAsia"/>
        </w:rPr>
        <w:t>次</w:t>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"_Toc196128638" </w:instrText>
      </w:r>
      <w:r>
        <w:fldChar w:fldCharType="separate"/>
      </w:r>
      <w:r>
        <w:rPr>
          <w:rStyle w:val="35"/>
          <w:rFonts w:hint="eastAsia"/>
        </w:rPr>
        <w:t>前言</w:t>
      </w:r>
      <w:r>
        <w:rPr>
          <w:rFonts w:hint="eastAsia"/>
        </w:rPr>
        <w:tab/>
      </w:r>
      <w:r>
        <w:rPr>
          <w:rFonts w:hint="eastAsia"/>
        </w:rPr>
        <w:fldChar w:fldCharType="begin"/>
      </w:r>
      <w:r>
        <w:rPr>
          <w:rFonts w:hint="eastAsia"/>
        </w:rPr>
        <w:instrText xml:space="preserve"> </w:instrText>
      </w:r>
      <w:r>
        <w:instrText xml:space="preserve">PAGEREF _Toc196128638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"_Toc196128639" </w:instrText>
      </w:r>
      <w:r>
        <w:fldChar w:fldCharType="separate"/>
      </w:r>
      <w:r>
        <w:rPr>
          <w:rStyle w:val="35"/>
          <w:rFonts w:hint="eastAsia"/>
        </w:rPr>
        <w:t>1</w:t>
      </w:r>
      <w:r>
        <w:rPr>
          <w:rStyle w:val="35"/>
        </w:rPr>
        <w:t xml:space="preserve"> </w:t>
      </w:r>
      <w:r>
        <w:rPr>
          <w:rStyle w:val="35"/>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_Toc196128639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"_Toc196128640" </w:instrText>
      </w:r>
      <w:r>
        <w:fldChar w:fldCharType="separate"/>
      </w:r>
      <w:r>
        <w:rPr>
          <w:rStyle w:val="35"/>
          <w:rFonts w:hint="eastAsia"/>
        </w:rPr>
        <w:t>2</w:t>
      </w:r>
      <w:r>
        <w:rPr>
          <w:rStyle w:val="35"/>
        </w:rPr>
        <w:t xml:space="preserve"> </w:t>
      </w:r>
      <w:r>
        <w:rPr>
          <w:rStyle w:val="35"/>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_Toc196128640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"_Toc196128641" </w:instrText>
      </w:r>
      <w:r>
        <w:fldChar w:fldCharType="separate"/>
      </w:r>
      <w:r>
        <w:rPr>
          <w:rStyle w:val="35"/>
          <w:rFonts w:hint="eastAsia"/>
        </w:rPr>
        <w:t>3</w:t>
      </w:r>
      <w:r>
        <w:rPr>
          <w:rStyle w:val="35"/>
        </w:rPr>
        <w:t xml:space="preserve"> </w:t>
      </w:r>
      <w:r>
        <w:rPr>
          <w:rStyle w:val="35"/>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_Toc196128641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"_Toc196128642" </w:instrText>
      </w:r>
      <w:r>
        <w:fldChar w:fldCharType="separate"/>
      </w:r>
      <w:r>
        <w:rPr>
          <w:rStyle w:val="35"/>
          <w:rFonts w:hint="eastAsia"/>
        </w:rPr>
        <w:t>4</w:t>
      </w:r>
      <w:r>
        <w:rPr>
          <w:rStyle w:val="35"/>
        </w:rPr>
        <w:t xml:space="preserve"> </w:t>
      </w:r>
      <w:r>
        <w:rPr>
          <w:rStyle w:val="35"/>
          <w:rFonts w:hint="eastAsia"/>
        </w:rPr>
        <w:t xml:space="preserve"> 评价原则</w:t>
      </w:r>
      <w:r>
        <w:rPr>
          <w:rFonts w:hint="eastAsia"/>
        </w:rPr>
        <w:tab/>
      </w:r>
      <w:r>
        <w:rPr>
          <w:rFonts w:hint="eastAsia"/>
        </w:rPr>
        <w:fldChar w:fldCharType="begin"/>
      </w:r>
      <w:r>
        <w:rPr>
          <w:rFonts w:hint="eastAsia"/>
        </w:rPr>
        <w:instrText xml:space="preserve"> </w:instrText>
      </w:r>
      <w:r>
        <w:instrText xml:space="preserve">PAGEREF _Toc196128642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"_Toc196128643" </w:instrText>
      </w:r>
      <w:r>
        <w:fldChar w:fldCharType="separate"/>
      </w:r>
      <w:r>
        <w:rPr>
          <w:rStyle w:val="35"/>
          <w:rFonts w:hint="eastAsia"/>
          <w14:scene3d>
            <w14:lightRig w14:rig="threePt" w14:dir="t">
              <w14:rot w14:lat="0" w14:lon="0" w14:rev="0"/>
            </w14:lightRig>
          </w14:scene3d>
        </w:rPr>
        <w:t>4.1</w:t>
      </w:r>
      <w:r>
        <w:rPr>
          <w:rStyle w:val="35"/>
          <w14:scene3d>
            <w14:lightRig w14:rig="threePt" w14:dir="t">
              <w14:rot w14:lat="0" w14:lon="0" w14:rev="0"/>
            </w14:lightRig>
          </w14:scene3d>
        </w:rPr>
        <w:t xml:space="preserve"> </w:t>
      </w:r>
      <w:r>
        <w:rPr>
          <w:rStyle w:val="35"/>
          <w:rFonts w:hint="eastAsia"/>
        </w:rPr>
        <w:t xml:space="preserve"> 以评促优</w:t>
      </w:r>
      <w:r>
        <w:rPr>
          <w:rFonts w:hint="eastAsia"/>
        </w:rPr>
        <w:tab/>
      </w:r>
      <w:r>
        <w:rPr>
          <w:rFonts w:hint="eastAsia"/>
        </w:rPr>
        <w:fldChar w:fldCharType="begin"/>
      </w:r>
      <w:r>
        <w:rPr>
          <w:rFonts w:hint="eastAsia"/>
        </w:rPr>
        <w:instrText xml:space="preserve"> </w:instrText>
      </w:r>
      <w:r>
        <w:instrText xml:space="preserve">PAGEREF _Toc196128643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"_Toc196128644" </w:instrText>
      </w:r>
      <w:r>
        <w:fldChar w:fldCharType="separate"/>
      </w:r>
      <w:r>
        <w:rPr>
          <w:rStyle w:val="35"/>
          <w:rFonts w:hint="eastAsia"/>
          <w14:scene3d>
            <w14:lightRig w14:rig="threePt" w14:dir="t">
              <w14:rot w14:lat="0" w14:lon="0" w14:rev="0"/>
            </w14:lightRig>
          </w14:scene3d>
        </w:rPr>
        <w:t>4.2</w:t>
      </w:r>
      <w:r>
        <w:rPr>
          <w:rStyle w:val="35"/>
          <w14:scene3d>
            <w14:lightRig w14:rig="threePt" w14:dir="t">
              <w14:rot w14:lat="0" w14:lon="0" w14:rev="0"/>
            </w14:lightRig>
          </w14:scene3d>
        </w:rPr>
        <w:t xml:space="preserve"> </w:t>
      </w:r>
      <w:r>
        <w:rPr>
          <w:rStyle w:val="35"/>
          <w:rFonts w:hint="eastAsia"/>
        </w:rPr>
        <w:t xml:space="preserve"> 全面科学</w:t>
      </w:r>
      <w:r>
        <w:rPr>
          <w:rFonts w:hint="eastAsia"/>
        </w:rPr>
        <w:tab/>
      </w:r>
      <w:r>
        <w:rPr>
          <w:rFonts w:hint="eastAsia"/>
        </w:rPr>
        <w:fldChar w:fldCharType="begin"/>
      </w:r>
      <w:r>
        <w:rPr>
          <w:rFonts w:hint="eastAsia"/>
        </w:rPr>
        <w:instrText xml:space="preserve"> </w:instrText>
      </w:r>
      <w:r>
        <w:instrText xml:space="preserve">PAGEREF _Toc196128644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"_Toc196128645" </w:instrText>
      </w:r>
      <w:r>
        <w:fldChar w:fldCharType="separate"/>
      </w:r>
      <w:r>
        <w:rPr>
          <w:rStyle w:val="35"/>
          <w:rFonts w:hint="eastAsia"/>
          <w14:scene3d>
            <w14:lightRig w14:rig="threePt" w14:dir="t">
              <w14:rot w14:lat="0" w14:lon="0" w14:rev="0"/>
            </w14:lightRig>
          </w14:scene3d>
        </w:rPr>
        <w:t>4.3</w:t>
      </w:r>
      <w:r>
        <w:rPr>
          <w:rStyle w:val="35"/>
          <w14:scene3d>
            <w14:lightRig w14:rig="threePt" w14:dir="t">
              <w14:rot w14:lat="0" w14:lon="0" w14:rev="0"/>
            </w14:lightRig>
          </w14:scene3d>
        </w:rPr>
        <w:t xml:space="preserve"> </w:t>
      </w:r>
      <w:r>
        <w:rPr>
          <w:rStyle w:val="35"/>
          <w:rFonts w:hint="eastAsia"/>
        </w:rPr>
        <w:t xml:space="preserve"> 多维评价</w:t>
      </w:r>
      <w:r>
        <w:rPr>
          <w:rFonts w:hint="eastAsia"/>
        </w:rPr>
        <w:tab/>
      </w:r>
      <w:r>
        <w:rPr>
          <w:rFonts w:hint="eastAsia"/>
        </w:rPr>
        <w:fldChar w:fldCharType="begin"/>
      </w:r>
      <w:r>
        <w:rPr>
          <w:rFonts w:hint="eastAsia"/>
        </w:rPr>
        <w:instrText xml:space="preserve"> </w:instrText>
      </w:r>
      <w:r>
        <w:instrText xml:space="preserve">PAGEREF _Toc196128645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"_Toc196128646" </w:instrText>
      </w:r>
      <w:r>
        <w:fldChar w:fldCharType="separate"/>
      </w:r>
      <w:r>
        <w:rPr>
          <w:rStyle w:val="35"/>
          <w:rFonts w:hint="eastAsia"/>
        </w:rPr>
        <w:t>5</w:t>
      </w:r>
      <w:r>
        <w:rPr>
          <w:rStyle w:val="35"/>
        </w:rPr>
        <w:t xml:space="preserve"> </w:t>
      </w:r>
      <w:r>
        <w:rPr>
          <w:rStyle w:val="35"/>
          <w:rFonts w:hint="eastAsia"/>
        </w:rPr>
        <w:t xml:space="preserve"> 总体要求</w:t>
      </w:r>
      <w:r>
        <w:rPr>
          <w:rFonts w:hint="eastAsia"/>
        </w:rPr>
        <w:tab/>
      </w:r>
      <w:r>
        <w:rPr>
          <w:rFonts w:hint="eastAsia"/>
        </w:rPr>
        <w:fldChar w:fldCharType="begin"/>
      </w:r>
      <w:r>
        <w:rPr>
          <w:rFonts w:hint="eastAsia"/>
        </w:rPr>
        <w:instrText xml:space="preserve"> </w:instrText>
      </w:r>
      <w:r>
        <w:instrText xml:space="preserve">PAGEREF _Toc196128646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"_Toc196128647" </w:instrText>
      </w:r>
      <w:r>
        <w:fldChar w:fldCharType="separate"/>
      </w:r>
      <w:r>
        <w:rPr>
          <w:rStyle w:val="35"/>
          <w:rFonts w:hint="eastAsia"/>
          <w14:scene3d>
            <w14:lightRig w14:rig="threePt" w14:dir="t">
              <w14:rot w14:lat="0" w14:lon="0" w14:rev="0"/>
            </w14:lightRig>
          </w14:scene3d>
        </w:rPr>
        <w:t>5.1</w:t>
      </w:r>
      <w:r>
        <w:rPr>
          <w:rStyle w:val="35"/>
          <w14:scene3d>
            <w14:lightRig w14:rig="threePt" w14:dir="t">
              <w14:rot w14:lat="0" w14:lon="0" w14:rev="0"/>
            </w14:lightRig>
          </w14:scene3d>
        </w:rPr>
        <w:t xml:space="preserve"> </w:t>
      </w:r>
      <w:r>
        <w:rPr>
          <w:rStyle w:val="35"/>
          <w:rFonts w:hint="eastAsia"/>
        </w:rPr>
        <w:t xml:space="preserve"> 评价管理</w:t>
      </w:r>
      <w:r>
        <w:rPr>
          <w:rFonts w:hint="eastAsia"/>
        </w:rPr>
        <w:tab/>
      </w:r>
      <w:r>
        <w:rPr>
          <w:rFonts w:hint="eastAsia"/>
        </w:rPr>
        <w:fldChar w:fldCharType="begin"/>
      </w:r>
      <w:r>
        <w:rPr>
          <w:rFonts w:hint="eastAsia"/>
        </w:rPr>
        <w:instrText xml:space="preserve"> </w:instrText>
      </w:r>
      <w:r>
        <w:instrText xml:space="preserve">PAGEREF _Toc196128647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"_Toc196128648" </w:instrText>
      </w:r>
      <w:r>
        <w:fldChar w:fldCharType="separate"/>
      </w:r>
      <w:r>
        <w:rPr>
          <w:rStyle w:val="35"/>
          <w:rFonts w:hint="eastAsia"/>
          <w14:scene3d>
            <w14:lightRig w14:rig="threePt" w14:dir="t">
              <w14:rot w14:lat="0" w14:lon="0" w14:rev="0"/>
            </w14:lightRig>
          </w14:scene3d>
        </w:rPr>
        <w:t>5.2</w:t>
      </w:r>
      <w:r>
        <w:rPr>
          <w:rStyle w:val="35"/>
          <w14:scene3d>
            <w14:lightRig w14:rig="threePt" w14:dir="t">
              <w14:rot w14:lat="0" w14:lon="0" w14:rev="0"/>
            </w14:lightRig>
          </w14:scene3d>
        </w:rPr>
        <w:t xml:space="preserve"> </w:t>
      </w:r>
      <w:r>
        <w:rPr>
          <w:rStyle w:val="35"/>
          <w:rFonts w:hint="eastAsia"/>
        </w:rPr>
        <w:t xml:space="preserve"> 评价主体</w:t>
      </w:r>
      <w:r>
        <w:rPr>
          <w:rFonts w:hint="eastAsia"/>
        </w:rPr>
        <w:tab/>
      </w:r>
      <w:r>
        <w:rPr>
          <w:rFonts w:hint="eastAsia"/>
        </w:rPr>
        <w:fldChar w:fldCharType="begin"/>
      </w:r>
      <w:r>
        <w:rPr>
          <w:rFonts w:hint="eastAsia"/>
        </w:rPr>
        <w:instrText xml:space="preserve"> </w:instrText>
      </w:r>
      <w:r>
        <w:instrText xml:space="preserve">PAGEREF _Toc196128648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"_Toc196128649" </w:instrText>
      </w:r>
      <w:r>
        <w:fldChar w:fldCharType="separate"/>
      </w:r>
      <w:r>
        <w:rPr>
          <w:rStyle w:val="35"/>
          <w:rFonts w:hint="eastAsia"/>
        </w:rPr>
        <w:t>6</w:t>
      </w:r>
      <w:r>
        <w:rPr>
          <w:rStyle w:val="35"/>
        </w:rPr>
        <w:t xml:space="preserve"> </w:t>
      </w:r>
      <w:r>
        <w:rPr>
          <w:rStyle w:val="35"/>
          <w:rFonts w:hint="eastAsia"/>
        </w:rPr>
        <w:t xml:space="preserve"> 评价依据</w:t>
      </w:r>
      <w:r>
        <w:rPr>
          <w:rFonts w:hint="eastAsia"/>
        </w:rPr>
        <w:tab/>
      </w:r>
      <w:r>
        <w:rPr>
          <w:rFonts w:hint="eastAsia"/>
        </w:rPr>
        <w:fldChar w:fldCharType="begin"/>
      </w:r>
      <w:r>
        <w:rPr>
          <w:rFonts w:hint="eastAsia"/>
        </w:rPr>
        <w:instrText xml:space="preserve"> </w:instrText>
      </w:r>
      <w:r>
        <w:instrText xml:space="preserve">PAGEREF _Toc196128649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"_Toc196128650" </w:instrText>
      </w:r>
      <w:r>
        <w:fldChar w:fldCharType="separate"/>
      </w:r>
      <w:r>
        <w:rPr>
          <w:rStyle w:val="35"/>
          <w:rFonts w:hint="eastAsia"/>
        </w:rPr>
        <w:t>7</w:t>
      </w:r>
      <w:r>
        <w:rPr>
          <w:rStyle w:val="35"/>
        </w:rPr>
        <w:t xml:space="preserve"> </w:t>
      </w:r>
      <w:r>
        <w:rPr>
          <w:rStyle w:val="35"/>
          <w:rFonts w:hint="eastAsia"/>
        </w:rPr>
        <w:t xml:space="preserve"> 评价指标体系</w:t>
      </w:r>
      <w:r>
        <w:rPr>
          <w:rFonts w:hint="eastAsia"/>
        </w:rPr>
        <w:tab/>
      </w:r>
      <w:r>
        <w:rPr>
          <w:rFonts w:hint="eastAsia"/>
        </w:rPr>
        <w:fldChar w:fldCharType="begin"/>
      </w:r>
      <w:r>
        <w:rPr>
          <w:rFonts w:hint="eastAsia"/>
        </w:rPr>
        <w:instrText xml:space="preserve"> </w:instrText>
      </w:r>
      <w:r>
        <w:instrText xml:space="preserve">PAGEREF _Toc196128650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"_Toc196128651" </w:instrText>
      </w:r>
      <w:r>
        <w:fldChar w:fldCharType="separate"/>
      </w:r>
      <w:r>
        <w:rPr>
          <w:rStyle w:val="35"/>
          <w:rFonts w:hint="eastAsia"/>
        </w:rPr>
        <w:t>8</w:t>
      </w:r>
      <w:r>
        <w:rPr>
          <w:rStyle w:val="35"/>
        </w:rPr>
        <w:t xml:space="preserve"> </w:t>
      </w:r>
      <w:r>
        <w:rPr>
          <w:rStyle w:val="35"/>
          <w:rFonts w:hint="eastAsia"/>
        </w:rPr>
        <w:t xml:space="preserve"> 评价方法</w:t>
      </w:r>
      <w:r>
        <w:rPr>
          <w:rFonts w:hint="eastAsia"/>
        </w:rPr>
        <w:tab/>
      </w:r>
      <w:r>
        <w:rPr>
          <w:rFonts w:hint="eastAsia"/>
        </w:rPr>
        <w:fldChar w:fldCharType="begin"/>
      </w:r>
      <w:r>
        <w:rPr>
          <w:rFonts w:hint="eastAsia"/>
        </w:rPr>
        <w:instrText xml:space="preserve"> </w:instrText>
      </w:r>
      <w:r>
        <w:instrText xml:space="preserve">PAGEREF _Toc196128651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"_Toc196128652" </w:instrText>
      </w:r>
      <w:r>
        <w:fldChar w:fldCharType="separate"/>
      </w:r>
      <w:r>
        <w:rPr>
          <w:rStyle w:val="35"/>
          <w:rFonts w:hint="eastAsia"/>
          <w14:scene3d>
            <w14:lightRig w14:rig="threePt" w14:dir="t">
              <w14:rot w14:lat="0" w14:lon="0" w14:rev="0"/>
            </w14:lightRig>
          </w14:scene3d>
        </w:rPr>
        <w:t>8.1</w:t>
      </w:r>
      <w:r>
        <w:rPr>
          <w:rStyle w:val="35"/>
          <w14:scene3d>
            <w14:lightRig w14:rig="threePt" w14:dir="t">
              <w14:rot w14:lat="0" w14:lon="0" w14:rev="0"/>
            </w14:lightRig>
          </w14:scene3d>
        </w:rPr>
        <w:t xml:space="preserve"> </w:t>
      </w:r>
      <w:r>
        <w:rPr>
          <w:rStyle w:val="35"/>
          <w:rFonts w:hint="eastAsia"/>
        </w:rPr>
        <w:t xml:space="preserve"> 计分原则</w:t>
      </w:r>
      <w:r>
        <w:rPr>
          <w:rFonts w:hint="eastAsia"/>
        </w:rPr>
        <w:tab/>
      </w:r>
      <w:r>
        <w:rPr>
          <w:rFonts w:hint="eastAsia"/>
        </w:rPr>
        <w:fldChar w:fldCharType="begin"/>
      </w:r>
      <w:r>
        <w:rPr>
          <w:rFonts w:hint="eastAsia"/>
        </w:rPr>
        <w:instrText xml:space="preserve"> </w:instrText>
      </w:r>
      <w:r>
        <w:instrText xml:space="preserve">PAGEREF _Toc196128652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"_Toc196128653" </w:instrText>
      </w:r>
      <w:r>
        <w:fldChar w:fldCharType="separate"/>
      </w:r>
      <w:r>
        <w:rPr>
          <w:rStyle w:val="35"/>
          <w:rFonts w:hint="eastAsia"/>
          <w14:scene3d>
            <w14:lightRig w14:rig="threePt" w14:dir="t">
              <w14:rot w14:lat="0" w14:lon="0" w14:rev="0"/>
            </w14:lightRig>
          </w14:scene3d>
        </w:rPr>
        <w:t>8.2</w:t>
      </w:r>
      <w:r>
        <w:rPr>
          <w:rStyle w:val="35"/>
          <w14:scene3d>
            <w14:lightRig w14:rig="threePt" w14:dir="t">
              <w14:rot w14:lat="0" w14:lon="0" w14:rev="0"/>
            </w14:lightRig>
          </w14:scene3d>
        </w:rPr>
        <w:t xml:space="preserve"> </w:t>
      </w:r>
      <w:r>
        <w:rPr>
          <w:rStyle w:val="35"/>
          <w:rFonts w:hint="eastAsia"/>
        </w:rPr>
        <w:t xml:space="preserve"> 评定方式得分计算</w:t>
      </w:r>
      <w:r>
        <w:rPr>
          <w:rFonts w:hint="eastAsia"/>
        </w:rPr>
        <w:tab/>
      </w:r>
      <w:r>
        <w:rPr>
          <w:rFonts w:hint="eastAsia"/>
        </w:rPr>
        <w:fldChar w:fldCharType="begin"/>
      </w:r>
      <w:r>
        <w:rPr>
          <w:rFonts w:hint="eastAsia"/>
        </w:rPr>
        <w:instrText xml:space="preserve"> </w:instrText>
      </w:r>
      <w:r>
        <w:instrText xml:space="preserve">PAGEREF _Toc196128653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"_Toc196128654" </w:instrText>
      </w:r>
      <w:r>
        <w:fldChar w:fldCharType="separate"/>
      </w:r>
      <w:r>
        <w:rPr>
          <w:rStyle w:val="35"/>
          <w:rFonts w:hint="eastAsia"/>
          <w14:scene3d>
            <w14:lightRig w14:rig="threePt" w14:dir="t">
              <w14:rot w14:lat="0" w14:lon="0" w14:rev="0"/>
            </w14:lightRig>
          </w14:scene3d>
        </w:rPr>
        <w:t>8.3</w:t>
      </w:r>
      <w:r>
        <w:rPr>
          <w:rStyle w:val="35"/>
          <w14:scene3d>
            <w14:lightRig w14:rig="threePt" w14:dir="t">
              <w14:rot w14:lat="0" w14:lon="0" w14:rev="0"/>
            </w14:lightRig>
          </w14:scene3d>
        </w:rPr>
        <w:t xml:space="preserve"> </w:t>
      </w:r>
      <w:r>
        <w:rPr>
          <w:rStyle w:val="35"/>
          <w:rFonts w:hint="eastAsia"/>
        </w:rPr>
        <w:t xml:space="preserve"> 二级指标得分计算</w:t>
      </w:r>
      <w:r>
        <w:rPr>
          <w:rFonts w:hint="eastAsia"/>
        </w:rPr>
        <w:tab/>
      </w:r>
      <w:r>
        <w:rPr>
          <w:rFonts w:hint="eastAsia"/>
        </w:rPr>
        <w:fldChar w:fldCharType="begin"/>
      </w:r>
      <w:r>
        <w:rPr>
          <w:rFonts w:hint="eastAsia"/>
        </w:rPr>
        <w:instrText xml:space="preserve"> </w:instrText>
      </w:r>
      <w:r>
        <w:instrText xml:space="preserve">PAGEREF _Toc196128654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"_Toc196128655" </w:instrText>
      </w:r>
      <w:r>
        <w:fldChar w:fldCharType="separate"/>
      </w:r>
      <w:r>
        <w:rPr>
          <w:rStyle w:val="35"/>
          <w:rFonts w:hint="eastAsia"/>
          <w14:scene3d>
            <w14:lightRig w14:rig="threePt" w14:dir="t">
              <w14:rot w14:lat="0" w14:lon="0" w14:rev="0"/>
            </w14:lightRig>
          </w14:scene3d>
        </w:rPr>
        <w:t>8.4</w:t>
      </w:r>
      <w:r>
        <w:rPr>
          <w:rStyle w:val="35"/>
          <w14:scene3d>
            <w14:lightRig w14:rig="threePt" w14:dir="t">
              <w14:rot w14:lat="0" w14:lon="0" w14:rev="0"/>
            </w14:lightRig>
          </w14:scene3d>
        </w:rPr>
        <w:t xml:space="preserve"> </w:t>
      </w:r>
      <w:r>
        <w:rPr>
          <w:rStyle w:val="35"/>
          <w:rFonts w:hint="eastAsia"/>
        </w:rPr>
        <w:t xml:space="preserve"> 一级指标得分计算</w:t>
      </w:r>
      <w:r>
        <w:rPr>
          <w:rFonts w:hint="eastAsia"/>
        </w:rPr>
        <w:tab/>
      </w:r>
      <w:r>
        <w:rPr>
          <w:rFonts w:hint="eastAsia"/>
        </w:rPr>
        <w:fldChar w:fldCharType="begin"/>
      </w:r>
      <w:r>
        <w:rPr>
          <w:rFonts w:hint="eastAsia"/>
        </w:rPr>
        <w:instrText xml:space="preserve"> </w:instrText>
      </w:r>
      <w:r>
        <w:instrText xml:space="preserve">PAGEREF _Toc196128655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"_Toc196128656" </w:instrText>
      </w:r>
      <w:r>
        <w:fldChar w:fldCharType="separate"/>
      </w:r>
      <w:r>
        <w:rPr>
          <w:rStyle w:val="35"/>
          <w:rFonts w:hint="eastAsia"/>
          <w14:scene3d>
            <w14:lightRig w14:rig="threePt" w14:dir="t">
              <w14:rot w14:lat="0" w14:lon="0" w14:rev="0"/>
            </w14:lightRig>
          </w14:scene3d>
        </w:rPr>
        <w:t>8.5</w:t>
      </w:r>
      <w:r>
        <w:rPr>
          <w:rStyle w:val="35"/>
          <w14:scene3d>
            <w14:lightRig w14:rig="threePt" w14:dir="t">
              <w14:rot w14:lat="0" w14:lon="0" w14:rev="0"/>
            </w14:lightRig>
          </w14:scene3d>
        </w:rPr>
        <w:t xml:space="preserve"> </w:t>
      </w:r>
      <w:r>
        <w:rPr>
          <w:rStyle w:val="35"/>
          <w:rFonts w:hint="eastAsia"/>
        </w:rPr>
        <w:t xml:space="preserve"> 评价对象总分计算</w:t>
      </w:r>
      <w:r>
        <w:rPr>
          <w:rFonts w:hint="eastAsia"/>
        </w:rPr>
        <w:tab/>
      </w:r>
      <w:r>
        <w:rPr>
          <w:rFonts w:hint="eastAsia"/>
        </w:rPr>
        <w:fldChar w:fldCharType="begin"/>
      </w:r>
      <w:r>
        <w:rPr>
          <w:rFonts w:hint="eastAsia"/>
        </w:rPr>
        <w:instrText xml:space="preserve"> </w:instrText>
      </w:r>
      <w:r>
        <w:instrText xml:space="preserve">PAGEREF _Toc196128656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"_Toc196128657" </w:instrText>
      </w:r>
      <w:r>
        <w:fldChar w:fldCharType="separate"/>
      </w:r>
      <w:r>
        <w:rPr>
          <w:rStyle w:val="35"/>
          <w:rFonts w:hint="eastAsia"/>
        </w:rPr>
        <w:t>9</w:t>
      </w:r>
      <w:r>
        <w:rPr>
          <w:rStyle w:val="35"/>
        </w:rPr>
        <w:t xml:space="preserve"> </w:t>
      </w:r>
      <w:r>
        <w:rPr>
          <w:rStyle w:val="35"/>
          <w:rFonts w:hint="eastAsia"/>
        </w:rPr>
        <w:t xml:space="preserve"> 评价过程</w:t>
      </w:r>
      <w:r>
        <w:rPr>
          <w:rFonts w:hint="eastAsia"/>
        </w:rPr>
        <w:tab/>
      </w:r>
      <w:r>
        <w:rPr>
          <w:rFonts w:hint="eastAsia"/>
        </w:rPr>
        <w:fldChar w:fldCharType="begin"/>
      </w:r>
      <w:r>
        <w:rPr>
          <w:rFonts w:hint="eastAsia"/>
        </w:rPr>
        <w:instrText xml:space="preserve"> </w:instrText>
      </w:r>
      <w:r>
        <w:instrText xml:space="preserve">PAGEREF _Toc196128657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"_Toc196128658" </w:instrText>
      </w:r>
      <w:r>
        <w:fldChar w:fldCharType="separate"/>
      </w:r>
      <w:r>
        <w:rPr>
          <w:rStyle w:val="35"/>
          <w:rFonts w:hint="eastAsia"/>
          <w14:scene3d>
            <w14:lightRig w14:rig="threePt" w14:dir="t">
              <w14:rot w14:lat="0" w14:lon="0" w14:rev="0"/>
            </w14:lightRig>
          </w14:scene3d>
        </w:rPr>
        <w:t>9.1</w:t>
      </w:r>
      <w:r>
        <w:rPr>
          <w:rStyle w:val="35"/>
          <w14:scene3d>
            <w14:lightRig w14:rig="threePt" w14:dir="t">
              <w14:rot w14:lat="0" w14:lon="0" w14:rev="0"/>
            </w14:lightRig>
          </w14:scene3d>
        </w:rPr>
        <w:t xml:space="preserve"> </w:t>
      </w:r>
      <w:r>
        <w:rPr>
          <w:rStyle w:val="35"/>
          <w:rFonts w:hint="eastAsia"/>
        </w:rPr>
        <w:t xml:space="preserve"> 评价程序</w:t>
      </w:r>
      <w:r>
        <w:rPr>
          <w:rFonts w:hint="eastAsia"/>
        </w:rPr>
        <w:tab/>
      </w:r>
      <w:r>
        <w:rPr>
          <w:rFonts w:hint="eastAsia"/>
        </w:rPr>
        <w:fldChar w:fldCharType="begin"/>
      </w:r>
      <w:r>
        <w:rPr>
          <w:rFonts w:hint="eastAsia"/>
        </w:rPr>
        <w:instrText xml:space="preserve"> </w:instrText>
      </w:r>
      <w:r>
        <w:instrText xml:space="preserve">PAGEREF _Toc196128658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"_Toc196128659" </w:instrText>
      </w:r>
      <w:r>
        <w:fldChar w:fldCharType="separate"/>
      </w:r>
      <w:r>
        <w:rPr>
          <w:rStyle w:val="35"/>
          <w:rFonts w:hint="eastAsia"/>
          <w14:scene3d>
            <w14:lightRig w14:rig="threePt" w14:dir="t">
              <w14:rot w14:lat="0" w14:lon="0" w14:rev="0"/>
            </w14:lightRig>
          </w14:scene3d>
        </w:rPr>
        <w:t>9.2</w:t>
      </w:r>
      <w:r>
        <w:rPr>
          <w:rStyle w:val="35"/>
          <w14:scene3d>
            <w14:lightRig w14:rig="threePt" w14:dir="t">
              <w14:rot w14:lat="0" w14:lon="0" w14:rev="0"/>
            </w14:lightRig>
          </w14:scene3d>
        </w:rPr>
        <w:t xml:space="preserve"> </w:t>
      </w:r>
      <w:r>
        <w:rPr>
          <w:rStyle w:val="35"/>
          <w:rFonts w:hint="eastAsia"/>
        </w:rPr>
        <w:t xml:space="preserve"> 项目启动</w:t>
      </w:r>
      <w:r>
        <w:rPr>
          <w:rFonts w:hint="eastAsia"/>
        </w:rPr>
        <w:tab/>
      </w:r>
      <w:r>
        <w:rPr>
          <w:rFonts w:hint="eastAsia"/>
        </w:rPr>
        <w:fldChar w:fldCharType="begin"/>
      </w:r>
      <w:r>
        <w:rPr>
          <w:rFonts w:hint="eastAsia"/>
        </w:rPr>
        <w:instrText xml:space="preserve"> </w:instrText>
      </w:r>
      <w:r>
        <w:instrText xml:space="preserve">PAGEREF _Toc196128659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"_Toc196128660" </w:instrText>
      </w:r>
      <w:r>
        <w:fldChar w:fldCharType="separate"/>
      </w:r>
      <w:r>
        <w:rPr>
          <w:rStyle w:val="35"/>
          <w:rFonts w:hint="eastAsia"/>
          <w14:scene3d>
            <w14:lightRig w14:rig="threePt" w14:dir="t">
              <w14:rot w14:lat="0" w14:lon="0" w14:rev="0"/>
            </w14:lightRig>
          </w14:scene3d>
        </w:rPr>
        <w:t>9.3</w:t>
      </w:r>
      <w:r>
        <w:rPr>
          <w:rStyle w:val="35"/>
          <w14:scene3d>
            <w14:lightRig w14:rig="threePt" w14:dir="t">
              <w14:rot w14:lat="0" w14:lon="0" w14:rev="0"/>
            </w14:lightRig>
          </w14:scene3d>
        </w:rPr>
        <w:t xml:space="preserve"> </w:t>
      </w:r>
      <w:r>
        <w:rPr>
          <w:rStyle w:val="35"/>
          <w:rFonts w:hint="eastAsia"/>
        </w:rPr>
        <w:t xml:space="preserve"> 实施准备</w:t>
      </w:r>
      <w:r>
        <w:rPr>
          <w:rFonts w:hint="eastAsia"/>
        </w:rPr>
        <w:tab/>
      </w:r>
      <w:r>
        <w:rPr>
          <w:rFonts w:hint="eastAsia"/>
        </w:rPr>
        <w:fldChar w:fldCharType="begin"/>
      </w:r>
      <w:r>
        <w:rPr>
          <w:rFonts w:hint="eastAsia"/>
        </w:rPr>
        <w:instrText xml:space="preserve"> </w:instrText>
      </w:r>
      <w:r>
        <w:instrText xml:space="preserve">PAGEREF _Toc196128660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"_Toc196128661" </w:instrText>
      </w:r>
      <w:r>
        <w:fldChar w:fldCharType="separate"/>
      </w:r>
      <w:r>
        <w:rPr>
          <w:rStyle w:val="35"/>
          <w:rFonts w:hint="eastAsia"/>
          <w14:scene3d>
            <w14:lightRig w14:rig="threePt" w14:dir="t">
              <w14:rot w14:lat="0" w14:lon="0" w14:rev="0"/>
            </w14:lightRig>
          </w14:scene3d>
        </w:rPr>
        <w:t>9.4</w:t>
      </w:r>
      <w:r>
        <w:rPr>
          <w:rStyle w:val="35"/>
          <w14:scene3d>
            <w14:lightRig w14:rig="threePt" w14:dir="t">
              <w14:rot w14:lat="0" w14:lon="0" w14:rev="0"/>
            </w14:lightRig>
          </w14:scene3d>
        </w:rPr>
        <w:t xml:space="preserve"> </w:t>
      </w:r>
      <w:r>
        <w:rPr>
          <w:rStyle w:val="35"/>
          <w:rFonts w:hint="eastAsia"/>
        </w:rPr>
        <w:t xml:space="preserve"> 数据采集</w:t>
      </w:r>
      <w:r>
        <w:rPr>
          <w:rFonts w:hint="eastAsia"/>
        </w:rPr>
        <w:tab/>
      </w:r>
      <w:r>
        <w:rPr>
          <w:rFonts w:hint="eastAsia"/>
        </w:rPr>
        <w:fldChar w:fldCharType="begin"/>
      </w:r>
      <w:r>
        <w:rPr>
          <w:rFonts w:hint="eastAsia"/>
        </w:rPr>
        <w:instrText xml:space="preserve"> </w:instrText>
      </w:r>
      <w:r>
        <w:instrText xml:space="preserve">PAGEREF _Toc196128661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"_Toc196128662" </w:instrText>
      </w:r>
      <w:r>
        <w:fldChar w:fldCharType="separate"/>
      </w:r>
      <w:r>
        <w:rPr>
          <w:rStyle w:val="35"/>
          <w:rFonts w:hint="eastAsia"/>
          <w14:scene3d>
            <w14:lightRig w14:rig="threePt" w14:dir="t">
              <w14:rot w14:lat="0" w14:lon="0" w14:rev="0"/>
            </w14:lightRig>
          </w14:scene3d>
        </w:rPr>
        <w:t>9.5</w:t>
      </w:r>
      <w:r>
        <w:rPr>
          <w:rStyle w:val="35"/>
          <w14:scene3d>
            <w14:lightRig w14:rig="threePt" w14:dir="t">
              <w14:rot w14:lat="0" w14:lon="0" w14:rev="0"/>
            </w14:lightRig>
          </w14:scene3d>
        </w:rPr>
        <w:t xml:space="preserve"> </w:t>
      </w:r>
      <w:r>
        <w:rPr>
          <w:rStyle w:val="35"/>
          <w:rFonts w:hint="eastAsia"/>
        </w:rPr>
        <w:t xml:space="preserve"> 数据核验与处理</w:t>
      </w:r>
      <w:r>
        <w:rPr>
          <w:rFonts w:hint="eastAsia"/>
        </w:rPr>
        <w:tab/>
      </w:r>
      <w:r>
        <w:rPr>
          <w:rFonts w:hint="eastAsia"/>
        </w:rPr>
        <w:fldChar w:fldCharType="begin"/>
      </w:r>
      <w:r>
        <w:rPr>
          <w:rFonts w:hint="eastAsia"/>
        </w:rPr>
        <w:instrText xml:space="preserve"> </w:instrText>
      </w:r>
      <w:r>
        <w:instrText xml:space="preserve">PAGEREF _Toc196128662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"_Toc196128663" </w:instrText>
      </w:r>
      <w:r>
        <w:fldChar w:fldCharType="separate"/>
      </w:r>
      <w:r>
        <w:rPr>
          <w:rStyle w:val="35"/>
          <w:rFonts w:hint="eastAsia"/>
          <w14:scene3d>
            <w14:lightRig w14:rig="threePt" w14:dir="t">
              <w14:rot w14:lat="0" w14:lon="0" w14:rev="0"/>
            </w14:lightRig>
          </w14:scene3d>
        </w:rPr>
        <w:t>9.6</w:t>
      </w:r>
      <w:r>
        <w:rPr>
          <w:rStyle w:val="35"/>
          <w14:scene3d>
            <w14:lightRig w14:rig="threePt" w14:dir="t">
              <w14:rot w14:lat="0" w14:lon="0" w14:rev="0"/>
            </w14:lightRig>
          </w14:scene3d>
        </w:rPr>
        <w:t xml:space="preserve"> </w:t>
      </w:r>
      <w:r>
        <w:rPr>
          <w:rStyle w:val="35"/>
          <w:rFonts w:hint="eastAsia"/>
        </w:rPr>
        <w:t xml:space="preserve"> 报告编制</w:t>
      </w:r>
      <w:r>
        <w:rPr>
          <w:rFonts w:hint="eastAsia"/>
        </w:rPr>
        <w:tab/>
      </w:r>
      <w:r>
        <w:rPr>
          <w:rFonts w:hint="eastAsia"/>
        </w:rPr>
        <w:fldChar w:fldCharType="begin"/>
      </w:r>
      <w:r>
        <w:rPr>
          <w:rFonts w:hint="eastAsia"/>
        </w:rPr>
        <w:instrText xml:space="preserve"> </w:instrText>
      </w:r>
      <w:r>
        <w:instrText xml:space="preserve">PAGEREF _Toc196128663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"_Toc196128664" </w:instrText>
      </w:r>
      <w:r>
        <w:fldChar w:fldCharType="separate"/>
      </w:r>
      <w:r>
        <w:rPr>
          <w:rStyle w:val="35"/>
          <w:rFonts w:hint="eastAsia"/>
          <w14:scene3d>
            <w14:lightRig w14:rig="threePt" w14:dir="t">
              <w14:rot w14:lat="0" w14:lon="0" w14:rev="0"/>
            </w14:lightRig>
          </w14:scene3d>
        </w:rPr>
        <w:t>9.7</w:t>
      </w:r>
      <w:r>
        <w:rPr>
          <w:rStyle w:val="35"/>
          <w14:scene3d>
            <w14:lightRig w14:rig="threePt" w14:dir="t">
              <w14:rot w14:lat="0" w14:lon="0" w14:rev="0"/>
            </w14:lightRig>
          </w14:scene3d>
        </w:rPr>
        <w:t xml:space="preserve"> </w:t>
      </w:r>
      <w:r>
        <w:rPr>
          <w:rStyle w:val="35"/>
          <w:rFonts w:hint="eastAsia"/>
        </w:rPr>
        <w:t xml:space="preserve"> 报告发布与建档</w:t>
      </w:r>
      <w:r>
        <w:rPr>
          <w:rFonts w:hint="eastAsia"/>
        </w:rPr>
        <w:tab/>
      </w:r>
      <w:r>
        <w:rPr>
          <w:rFonts w:hint="eastAsia"/>
        </w:rPr>
        <w:fldChar w:fldCharType="begin"/>
      </w:r>
      <w:r>
        <w:rPr>
          <w:rFonts w:hint="eastAsia"/>
        </w:rPr>
        <w:instrText xml:space="preserve"> </w:instrText>
      </w:r>
      <w:r>
        <w:instrText xml:space="preserve">PAGEREF _Toc196128664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"_Toc196128665" </w:instrText>
      </w:r>
      <w:r>
        <w:fldChar w:fldCharType="separate"/>
      </w:r>
      <w:r>
        <w:rPr>
          <w:rStyle w:val="35"/>
          <w:rFonts w:hint="eastAsia"/>
        </w:rPr>
        <w:t>10</w:t>
      </w:r>
      <w:r>
        <w:rPr>
          <w:rStyle w:val="35"/>
        </w:rPr>
        <w:t xml:space="preserve"> </w:t>
      </w:r>
      <w:r>
        <w:rPr>
          <w:rStyle w:val="35"/>
          <w:rFonts w:hint="eastAsia"/>
        </w:rPr>
        <w:t xml:space="preserve"> 结果应用</w:t>
      </w:r>
      <w:r>
        <w:rPr>
          <w:rFonts w:hint="eastAsia"/>
        </w:rPr>
        <w:tab/>
      </w:r>
      <w:r>
        <w:rPr>
          <w:rFonts w:hint="eastAsia"/>
        </w:rPr>
        <w:fldChar w:fldCharType="begin"/>
      </w:r>
      <w:r>
        <w:rPr>
          <w:rFonts w:hint="eastAsia"/>
        </w:rPr>
        <w:instrText xml:space="preserve"> </w:instrText>
      </w:r>
      <w:r>
        <w:instrText xml:space="preserve">PAGEREF _Toc196128665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"_Toc196128666" </w:instrText>
      </w:r>
      <w:r>
        <w:fldChar w:fldCharType="separate"/>
      </w:r>
      <w:r>
        <w:rPr>
          <w:rStyle w:val="35"/>
          <w:rFonts w:hint="eastAsia"/>
        </w:rPr>
        <w:t>附录A（规范性）</w:t>
      </w:r>
      <w:r>
        <w:rPr>
          <w:rStyle w:val="35"/>
        </w:rPr>
        <w:t xml:space="preserve"> </w:t>
      </w:r>
      <w:r>
        <w:rPr>
          <w:rStyle w:val="35"/>
          <w:rFonts w:hint="eastAsia"/>
        </w:rPr>
        <w:t xml:space="preserve"> 宁夏营商环境评价指标体系</w:t>
      </w:r>
      <w:r>
        <w:rPr>
          <w:rFonts w:hint="eastAsia"/>
        </w:rPr>
        <w:tab/>
      </w:r>
      <w:r>
        <w:rPr>
          <w:rFonts w:hint="eastAsia"/>
        </w:rPr>
        <w:fldChar w:fldCharType="begin"/>
      </w:r>
      <w:r>
        <w:rPr>
          <w:rFonts w:hint="eastAsia"/>
        </w:rPr>
        <w:instrText xml:space="preserve"> </w:instrText>
      </w:r>
      <w:r>
        <w:instrText xml:space="preserve">PAGEREF _Toc196128666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"_Toc196128667" </w:instrText>
      </w:r>
      <w:r>
        <w:fldChar w:fldCharType="separate"/>
      </w:r>
      <w:r>
        <w:rPr>
          <w:rStyle w:val="35"/>
          <w:rFonts w:hint="eastAsia"/>
        </w:rPr>
        <w:t>参考文献</w:t>
      </w:r>
      <w:r>
        <w:rPr>
          <w:rFonts w:hint="eastAsia"/>
        </w:rPr>
        <w:tab/>
      </w:r>
      <w:r>
        <w:rPr>
          <w:rFonts w:hint="eastAsia"/>
        </w:rPr>
        <w:fldChar w:fldCharType="begin"/>
      </w:r>
      <w:r>
        <w:rPr>
          <w:rFonts w:hint="eastAsia"/>
        </w:rPr>
        <w:instrText xml:space="preserve"> </w:instrText>
      </w:r>
      <w:r>
        <w:instrText xml:space="preserve">PAGEREF _Toc196128667 \h</w:instrText>
      </w:r>
      <w:r>
        <w:rPr>
          <w:rFonts w:hint="eastAsia"/>
        </w:rPr>
        <w:instrText xml:space="preserve"> </w:instrText>
      </w:r>
      <w:r>
        <w:rPr>
          <w:rFonts w:hint="eastAsia"/>
        </w:rPr>
        <w:fldChar w:fldCharType="separate"/>
      </w:r>
      <w:r>
        <w:t>48</w:t>
      </w:r>
      <w:r>
        <w:rPr>
          <w:rFonts w:hint="eastAsia"/>
        </w:rPr>
        <w:fldChar w:fldCharType="end"/>
      </w:r>
      <w:r>
        <w:rPr>
          <w:rFonts w:hint="eastAsia"/>
        </w:rPr>
        <w:fldChar w:fldCharType="end"/>
      </w:r>
    </w:p>
    <w:p>
      <w:pPr>
        <w:pStyle w:val="94"/>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2"/>
        <w:spacing w:before="900" w:after="468"/>
      </w:pPr>
      <w:bookmarkStart w:id="24" w:name="_Toc196128638"/>
      <w:bookmarkStart w:id="25" w:name="BookMark2"/>
      <w:r>
        <w:rPr>
          <w:rFonts w:hint="eastAsia"/>
          <w:spacing w:val="320"/>
        </w:rPr>
        <w:t>前</w:t>
      </w:r>
      <w:r>
        <w:rPr>
          <w:rFonts w:hint="eastAsia"/>
        </w:rPr>
        <w:t>言</w:t>
      </w:r>
      <w:bookmarkEnd w:id="22"/>
      <w:bookmarkEnd w:id="23"/>
      <w:bookmarkEnd w:id="24"/>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请注意本文件的某些内容可能涉及专利。本文件的发布机构不承担识别专利的责任。</w:t>
      </w:r>
    </w:p>
    <w:p>
      <w:pPr>
        <w:pStyle w:val="59"/>
        <w:ind w:firstLine="420"/>
      </w:pPr>
      <w:r>
        <w:rPr>
          <w:rFonts w:hint="eastAsia"/>
        </w:rPr>
        <w:t>本文件由宁夏回族自治区发展和改革委员会提出、归口并组织实施。</w:t>
      </w:r>
    </w:p>
    <w:p>
      <w:pPr>
        <w:pStyle w:val="59"/>
        <w:ind w:firstLine="420"/>
      </w:pPr>
      <w:r>
        <w:rPr>
          <w:rFonts w:hint="eastAsia"/>
        </w:rPr>
        <w:t>本文件起草单位：宁夏回族自治区营商环境优化服务中心、上海元方科技股份有限公司、宁夏回族自治区发展和改革委员会。</w:t>
      </w:r>
    </w:p>
    <w:p>
      <w:pPr>
        <w:pStyle w:val="59"/>
        <w:ind w:firstLine="420"/>
      </w:pPr>
      <w:r>
        <w:rPr>
          <w:rFonts w:hint="eastAsia"/>
        </w:rPr>
        <w:t>本文件主要起草人：朱莉萍、周珺、王昀怡、张力、吕志云、张旸、韩莹、宁慧、刘光峰、刘梦莹、温小玲、罗明瑞、韦天姿。</w:t>
      </w:r>
    </w:p>
    <w:p>
      <w:pPr>
        <w:pStyle w:val="59"/>
        <w:ind w:firstLine="420"/>
      </w:pPr>
    </w:p>
    <w:p>
      <w:pPr>
        <w:pStyle w:val="59"/>
        <w:ind w:firstLine="420"/>
      </w:pPr>
    </w:p>
    <w:p>
      <w:pPr>
        <w:pStyle w:val="59"/>
        <w:ind w:firstLine="420"/>
        <w:sectPr>
          <w:pgSz w:w="11906" w:h="16838"/>
          <w:pgMar w:top="1928"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hint="eastAsia" w:ascii="黑体" w:hAnsi="黑体" w:eastAsia="黑体"/>
          <w:sz w:val="32"/>
          <w:szCs w:val="32"/>
        </w:rPr>
      </w:pPr>
      <w:bookmarkStart w:id="26"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468E587C6A004DBCB4B6041C3E5CB1FE"/>
        </w:placeholder>
      </w:sdtPr>
      <w:sdtContent>
        <w:p>
          <w:pPr>
            <w:pStyle w:val="180"/>
            <w:spacing w:before="3" w:beforeLines="1" w:after="686" w:afterLines="220"/>
            <w:rPr>
              <w:rFonts w:hint="eastAsia"/>
            </w:rPr>
          </w:pPr>
          <w:bookmarkStart w:id="27" w:name="NEW_STAND_NAME"/>
          <w:r>
            <w:rPr>
              <w:rFonts w:hint="eastAsia"/>
              <w:lang w:eastAsia="zh-CN"/>
            </w:rPr>
            <w:t>宁夏</w:t>
          </w:r>
          <w:r>
            <w:rPr>
              <w:rFonts w:hint="eastAsia"/>
            </w:rPr>
            <w:t>营商环境评价基本规范</w:t>
          </w:r>
        </w:p>
      </w:sdtContent>
    </w:sdt>
    <w:bookmarkEnd w:id="27"/>
    <w:p>
      <w:pPr>
        <w:pStyle w:val="107"/>
        <w:spacing w:before="312" w:after="312"/>
      </w:pPr>
      <w:bookmarkStart w:id="28" w:name="_Toc17233333"/>
      <w:bookmarkStart w:id="29" w:name="_Toc97191423"/>
      <w:bookmarkStart w:id="30" w:name="_Toc26986530"/>
      <w:bookmarkStart w:id="31" w:name="_Toc184306386"/>
      <w:bookmarkStart w:id="32" w:name="_Toc24884218"/>
      <w:bookmarkStart w:id="33" w:name="_Toc196128136"/>
      <w:bookmarkStart w:id="34" w:name="_Toc24884211"/>
      <w:bookmarkStart w:id="35" w:name="_Toc17233325"/>
      <w:bookmarkStart w:id="36" w:name="_Toc26986771"/>
      <w:bookmarkStart w:id="37" w:name="_Toc196128639"/>
      <w:bookmarkStart w:id="38" w:name="_Toc26718930"/>
      <w:bookmarkStart w:id="39" w:name="_Toc26648465"/>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pPr>
        <w:pStyle w:val="59"/>
        <w:ind w:firstLine="420"/>
      </w:pPr>
      <w:bookmarkStart w:id="40" w:name="_Toc17233334"/>
      <w:bookmarkStart w:id="41" w:name="_Toc26648466"/>
      <w:bookmarkStart w:id="42" w:name="_Toc24884212"/>
      <w:bookmarkStart w:id="43" w:name="_Toc24884219"/>
      <w:bookmarkStart w:id="44" w:name="_Toc17233326"/>
      <w:r>
        <w:rPr>
          <w:rFonts w:hint="eastAsia"/>
        </w:rPr>
        <w:t>本文件规定了营商环境评价的方法、指标体系与评价程序，明确了营商环境评价原则、评价依据以及评价管理与结果应用等内容。</w:t>
      </w:r>
    </w:p>
    <w:p>
      <w:pPr>
        <w:pStyle w:val="59"/>
        <w:ind w:firstLine="420"/>
      </w:pPr>
      <w:r>
        <w:rPr>
          <w:rFonts w:hint="eastAsia"/>
        </w:rPr>
        <w:t>本文件适用于宁夏回族自治区各地级市、县（县级市）、市辖区和园区的营商环境评价。</w:t>
      </w:r>
    </w:p>
    <w:p>
      <w:pPr>
        <w:pStyle w:val="107"/>
        <w:spacing w:before="312" w:after="312"/>
      </w:pPr>
      <w:bookmarkStart w:id="45" w:name="_Toc97191424"/>
      <w:bookmarkStart w:id="46" w:name="_Toc26718931"/>
      <w:bookmarkStart w:id="47" w:name="_Toc184306387"/>
      <w:bookmarkStart w:id="48" w:name="_Toc196128137"/>
      <w:bookmarkStart w:id="49" w:name="_Toc196128640"/>
      <w:bookmarkStart w:id="50" w:name="_Toc26986772"/>
      <w:bookmarkStart w:id="51" w:name="_Toc26986531"/>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DEA0F7CA5B164C6FB6A40447B400CC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GB/T</w:t>
      </w:r>
      <w:r>
        <w:t xml:space="preserve"> </w:t>
      </w:r>
      <w:r>
        <w:rPr>
          <w:rFonts w:hint="eastAsia"/>
        </w:rPr>
        <w:t>40148—</w:t>
      </w:r>
      <w:r>
        <w:t xml:space="preserve">2021 </w:t>
      </w:r>
      <w:r>
        <w:rPr>
          <w:rFonts w:hint="eastAsia"/>
        </w:rPr>
        <w:t>科技评估基本术语</w:t>
      </w:r>
    </w:p>
    <w:p>
      <w:pPr>
        <w:pStyle w:val="107"/>
        <w:spacing w:before="312" w:after="312"/>
      </w:pPr>
      <w:bookmarkStart w:id="52" w:name="_Toc196128138"/>
      <w:bookmarkStart w:id="53" w:name="_Toc97191425"/>
      <w:bookmarkStart w:id="54" w:name="_Toc184306388"/>
      <w:bookmarkStart w:id="55" w:name="_Toc196128641"/>
      <w:r>
        <w:rPr>
          <w:rFonts w:hint="eastAsia"/>
          <w:szCs w:val="21"/>
        </w:rPr>
        <w:t>术语和定义</w:t>
      </w:r>
      <w:bookmarkEnd w:id="52"/>
      <w:bookmarkEnd w:id="53"/>
      <w:bookmarkEnd w:id="54"/>
      <w:bookmarkEnd w:id="55"/>
    </w:p>
    <w:sdt>
      <w:sdtPr>
        <w:id w:val="-1"/>
        <w:placeholder>
          <w:docPart w:val="67DF8857D5B0426CA9EC0912C61A836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56" w:name="_Toc26986532"/>
          <w:bookmarkEnd w:id="56"/>
          <w:r>
            <w:t>下列术语和定义适用于本文件。</w:t>
          </w:r>
        </w:p>
      </w:sdtContent>
    </w:sdt>
    <w:p>
      <w:pPr>
        <w:pStyle w:val="226"/>
        <w:ind w:left="420" w:hanging="420" w:hangingChars="200"/>
        <w:rPr>
          <w:rFonts w:hint="eastAsia" w:ascii="黑体" w:hAnsi="黑体" w:eastAsia="黑体"/>
        </w:rPr>
      </w:pPr>
      <w:bookmarkStart w:id="57" w:name="_Toc184306389"/>
      <w:bookmarkStart w:id="58" w:name="_Toc170823220"/>
      <w:bookmarkStart w:id="59" w:name="_Toc171183390"/>
      <w:bookmarkStart w:id="60" w:name="_Toc170841478"/>
      <w:bookmarkStart w:id="61" w:name="_Toc170815183"/>
      <w:bookmarkStart w:id="62" w:name="_Toc171183759"/>
      <w:bookmarkStart w:id="63" w:name="_Toc172454955"/>
      <w:bookmarkStart w:id="64" w:name="_Toc171183146"/>
      <w:bookmarkStart w:id="65" w:name="_Toc184043627"/>
      <w:bookmarkStart w:id="66" w:name="_Toc172455205"/>
      <w:bookmarkStart w:id="67" w:name="_Toc171183329"/>
      <w:r>
        <w:rPr>
          <w:rFonts w:ascii="黑体" w:hAnsi="黑体" w:eastAsia="黑体"/>
        </w:rPr>
        <w:br w:type="textWrapping"/>
      </w:r>
      <w:r>
        <w:rPr>
          <w:rFonts w:hint="eastAsia" w:ascii="黑体" w:hAnsi="黑体" w:eastAsia="黑体"/>
        </w:rPr>
        <w:t>营商环境 business environment</w:t>
      </w:r>
    </w:p>
    <w:p>
      <w:pPr>
        <w:pStyle w:val="59"/>
        <w:ind w:firstLine="420"/>
      </w:pPr>
      <w:r>
        <w:rPr>
          <w:rFonts w:hint="eastAsia"/>
        </w:rPr>
        <w:t>企业、个体工商户等市场主体在市场经济活动中所涉及的体制机制性因素和条件。</w:t>
      </w:r>
    </w:p>
    <w:p>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营商环境评价 business environment evaluation</w:t>
      </w:r>
    </w:p>
    <w:p>
      <w:pPr>
        <w:pStyle w:val="59"/>
        <w:ind w:firstLine="420"/>
      </w:pPr>
      <w:r>
        <w:rPr>
          <w:rFonts w:hint="eastAsia"/>
        </w:rPr>
        <w:t>通过大量数据资源、营商环境监测等对营商环境（3.1）做出综合评价。</w:t>
      </w:r>
    </w:p>
    <w:p>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委托方 consignor</w:t>
      </w:r>
    </w:p>
    <w:p>
      <w:pPr>
        <w:pStyle w:val="59"/>
        <w:ind w:firstLine="420"/>
      </w:pPr>
      <w:r>
        <w:rPr>
          <w:rFonts w:hint="eastAsia"/>
        </w:rPr>
        <w:t>提出评价需求和目的，委托评价任务，提供相关经费和条件保障的组织机构或个人。</w:t>
      </w:r>
    </w:p>
    <w:p>
      <w:pPr>
        <w:pStyle w:val="59"/>
        <w:ind w:firstLine="420"/>
      </w:pPr>
      <w:r>
        <w:rPr>
          <w:rFonts w:hint="eastAsia"/>
        </w:rPr>
        <w:t xml:space="preserve">[来源：GB/T 40148—2021，5.1，有修改] </w:t>
      </w:r>
    </w:p>
    <w:p>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评价主体 evaluator</w:t>
      </w:r>
    </w:p>
    <w:p>
      <w:pPr>
        <w:pStyle w:val="59"/>
        <w:ind w:firstLine="420"/>
      </w:pPr>
      <w:r>
        <w:rPr>
          <w:rFonts w:hint="eastAsia"/>
        </w:rPr>
        <w:t>承担评价任务，形成评价结果，出具评价报告并承担相应责任的评价机构或评价专家组。</w:t>
      </w:r>
    </w:p>
    <w:p>
      <w:pPr>
        <w:pStyle w:val="59"/>
        <w:ind w:firstLine="420"/>
      </w:pPr>
      <w:r>
        <w:rPr>
          <w:rFonts w:hint="eastAsia"/>
        </w:rPr>
        <w:t xml:space="preserve">[来源：GB/T 40148—2021，5.2，有修改] </w:t>
      </w:r>
    </w:p>
    <w:p>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评价对象 evaluation object</w:t>
      </w:r>
    </w:p>
    <w:p>
      <w:pPr>
        <w:pStyle w:val="59"/>
        <w:ind w:firstLine="420"/>
      </w:pPr>
      <w:r>
        <w:rPr>
          <w:rFonts w:hint="eastAsia"/>
        </w:rPr>
        <w:t>参与宁夏回族自治区营商环境评价的相关部门和地区。</w:t>
      </w:r>
    </w:p>
    <w:p>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评价程序 evaluation procedure</w:t>
      </w:r>
    </w:p>
    <w:p>
      <w:pPr>
        <w:pStyle w:val="59"/>
        <w:ind w:firstLine="420"/>
      </w:pPr>
      <w:r>
        <w:rPr>
          <w:rFonts w:hint="eastAsia"/>
        </w:rPr>
        <w:t>为完成评价任务所执行的系统性工作步骤。</w:t>
      </w:r>
    </w:p>
    <w:p>
      <w:pPr>
        <w:pStyle w:val="59"/>
        <w:ind w:firstLine="420"/>
      </w:pPr>
      <w:r>
        <w:rPr>
          <w:rFonts w:hint="eastAsia"/>
        </w:rPr>
        <w:t xml:space="preserve">[来源：GB/T 40148—2021，6.12，有修改] </w:t>
      </w:r>
    </w:p>
    <w:p>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前沿距离法 frontier distance method</w:t>
      </w:r>
    </w:p>
    <w:p>
      <w:pPr>
        <w:pStyle w:val="59"/>
        <w:ind w:firstLine="420"/>
      </w:pPr>
      <w:r>
        <w:rPr>
          <w:rFonts w:hint="eastAsia"/>
        </w:rPr>
        <w:t>一种用于评估决策单位绩效的方法，通过计算决策单位与最优前沿之间的距离来衡量绩效。</w:t>
      </w:r>
    </w:p>
    <w:bookmarkEnd w:id="57"/>
    <w:bookmarkEnd w:id="58"/>
    <w:bookmarkEnd w:id="59"/>
    <w:bookmarkEnd w:id="60"/>
    <w:bookmarkEnd w:id="61"/>
    <w:bookmarkEnd w:id="62"/>
    <w:bookmarkEnd w:id="63"/>
    <w:bookmarkEnd w:id="64"/>
    <w:bookmarkEnd w:id="65"/>
    <w:bookmarkEnd w:id="66"/>
    <w:bookmarkEnd w:id="67"/>
    <w:p>
      <w:pPr>
        <w:pStyle w:val="107"/>
        <w:spacing w:before="312" w:after="312"/>
      </w:pPr>
      <w:bookmarkStart w:id="68" w:name="_Toc26299"/>
      <w:bookmarkStart w:id="69" w:name="_Toc196128139"/>
      <w:bookmarkStart w:id="70" w:name="_Toc196128642"/>
      <w:r>
        <w:rPr>
          <w:rFonts w:hint="eastAsia"/>
        </w:rPr>
        <w:t>评价原则</w:t>
      </w:r>
      <w:bookmarkEnd w:id="68"/>
      <w:bookmarkEnd w:id="69"/>
      <w:bookmarkEnd w:id="70"/>
    </w:p>
    <w:p>
      <w:pPr>
        <w:pStyle w:val="108"/>
        <w:spacing w:before="156" w:after="156"/>
      </w:pPr>
      <w:bookmarkStart w:id="71" w:name="_Toc196128140"/>
      <w:bookmarkStart w:id="72" w:name="_Toc5660"/>
      <w:bookmarkStart w:id="73" w:name="_Toc196128643"/>
      <w:bookmarkStart w:id="74" w:name="_Toc172455206"/>
      <w:bookmarkStart w:id="75" w:name="_Toc171183330"/>
      <w:bookmarkStart w:id="76" w:name="_Toc172454956"/>
      <w:bookmarkStart w:id="77" w:name="_Toc171183391"/>
      <w:bookmarkStart w:id="78" w:name="_Toc171183760"/>
      <w:bookmarkStart w:id="79" w:name="_Toc171183147"/>
      <w:bookmarkStart w:id="80" w:name="_Toc170841479"/>
      <w:bookmarkStart w:id="81" w:name="_Toc170823221"/>
      <w:bookmarkStart w:id="82" w:name="_Toc170815184"/>
      <w:r>
        <w:rPr>
          <w:rFonts w:hint="eastAsia"/>
        </w:rPr>
        <w:t>以评促优</w:t>
      </w:r>
      <w:bookmarkEnd w:id="71"/>
      <w:bookmarkEnd w:id="72"/>
      <w:bookmarkEnd w:id="73"/>
      <w:bookmarkEnd w:id="74"/>
      <w:bookmarkEnd w:id="75"/>
      <w:bookmarkEnd w:id="76"/>
      <w:bookmarkEnd w:id="77"/>
      <w:bookmarkEnd w:id="78"/>
      <w:bookmarkEnd w:id="79"/>
    </w:p>
    <w:p>
      <w:pPr>
        <w:pStyle w:val="59"/>
        <w:ind w:firstLine="420"/>
        <w:rPr>
          <w:kern w:val="2"/>
          <w:sz w:val="32"/>
          <w:szCs w:val="32"/>
        </w:rPr>
      </w:pPr>
      <w:r>
        <w:rPr>
          <w:rFonts w:hint="eastAsia"/>
        </w:rPr>
        <w:t>坚持问题导向和需求导向</w:t>
      </w:r>
      <w:r>
        <w:t>，</w:t>
      </w:r>
      <w:r>
        <w:rPr>
          <w:rFonts w:hint="eastAsia"/>
        </w:rPr>
        <w:t>以</w:t>
      </w:r>
      <w:r>
        <w:t>营商环境评价</w:t>
      </w:r>
      <w:r>
        <w:rPr>
          <w:rFonts w:hint="eastAsia"/>
        </w:rPr>
        <w:t>推动各地区、各部门</w:t>
      </w:r>
      <w:r>
        <w:t>聚焦企业关切，对标先进标杆，</w:t>
      </w:r>
      <w:r>
        <w:rPr>
          <w:rFonts w:hint="eastAsia"/>
        </w:rPr>
        <w:t>补齐</w:t>
      </w:r>
      <w:r>
        <w:t>短板弱项，</w:t>
      </w:r>
      <w:r>
        <w:rPr>
          <w:rFonts w:hint="eastAsia"/>
        </w:rPr>
        <w:t>提升服务质量</w:t>
      </w:r>
      <w:r>
        <w:rPr>
          <w:shd w:val="clear" w:color="auto" w:fill="FFFFFF"/>
        </w:rPr>
        <w:t>，</w:t>
      </w:r>
      <w:r>
        <w:t>充分发挥营商环境评价对优化营商环境的引领和督导作用。</w:t>
      </w:r>
    </w:p>
    <w:bookmarkEnd w:id="80"/>
    <w:bookmarkEnd w:id="81"/>
    <w:bookmarkEnd w:id="82"/>
    <w:p>
      <w:pPr>
        <w:pStyle w:val="108"/>
        <w:spacing w:before="156" w:after="156"/>
      </w:pPr>
      <w:bookmarkStart w:id="83" w:name="_Toc171183331"/>
      <w:bookmarkStart w:id="84" w:name="_Toc196128644"/>
      <w:bookmarkStart w:id="85" w:name="_Toc171183392"/>
      <w:bookmarkStart w:id="86" w:name="_Toc12318"/>
      <w:bookmarkStart w:id="87" w:name="_Toc171183148"/>
      <w:bookmarkStart w:id="88" w:name="_Toc171183761"/>
      <w:bookmarkStart w:id="89" w:name="_Toc172454957"/>
      <w:bookmarkStart w:id="90" w:name="_Toc172455207"/>
      <w:bookmarkStart w:id="91" w:name="_Toc196128141"/>
      <w:r>
        <w:rPr>
          <w:rFonts w:hint="eastAsia"/>
        </w:rPr>
        <w:t>全面科学</w:t>
      </w:r>
      <w:bookmarkEnd w:id="83"/>
      <w:bookmarkEnd w:id="84"/>
      <w:bookmarkEnd w:id="85"/>
      <w:bookmarkEnd w:id="86"/>
      <w:bookmarkEnd w:id="87"/>
      <w:bookmarkEnd w:id="88"/>
      <w:bookmarkEnd w:id="89"/>
      <w:bookmarkEnd w:id="90"/>
      <w:bookmarkEnd w:id="91"/>
    </w:p>
    <w:p>
      <w:pPr>
        <w:pStyle w:val="59"/>
        <w:ind w:firstLine="420"/>
      </w:pPr>
      <w:r>
        <w:t>评价</w:t>
      </w:r>
      <w:r>
        <w:rPr>
          <w:rFonts w:hint="eastAsia"/>
        </w:rPr>
        <w:t>指标系统全面可获取，评价方法科学有效可操作，评价结果真实客观无偏见，确保评价能够涵盖企业全生命周期，并全面反映自治区营商环境的总体情况和各行业领域情况。</w:t>
      </w:r>
    </w:p>
    <w:p>
      <w:pPr>
        <w:pStyle w:val="108"/>
        <w:spacing w:before="156" w:after="156"/>
      </w:pPr>
      <w:bookmarkStart w:id="92" w:name="_Toc172455208"/>
      <w:bookmarkStart w:id="93" w:name="_Toc172454958"/>
      <w:bookmarkStart w:id="94" w:name="_Toc19100"/>
      <w:bookmarkStart w:id="95" w:name="_Toc196128142"/>
      <w:bookmarkStart w:id="96" w:name="_Toc196128645"/>
      <w:r>
        <w:rPr>
          <w:rFonts w:hint="eastAsia"/>
        </w:rPr>
        <w:t>多</w:t>
      </w:r>
      <w:bookmarkEnd w:id="92"/>
      <w:bookmarkEnd w:id="93"/>
      <w:r>
        <w:rPr>
          <w:rFonts w:hint="eastAsia"/>
        </w:rPr>
        <w:t>维评价</w:t>
      </w:r>
      <w:bookmarkEnd w:id="94"/>
      <w:bookmarkEnd w:id="95"/>
      <w:bookmarkEnd w:id="96"/>
    </w:p>
    <w:p>
      <w:pPr>
        <w:pStyle w:val="59"/>
        <w:ind w:firstLine="420"/>
      </w:pPr>
      <w:r>
        <w:rPr>
          <w:rFonts w:hint="eastAsia"/>
        </w:rPr>
        <w:t>结合部门或地区营商环境建设评价和企业满意度评价等形式开展多维度营商环境综合评价，确保评价结果能够真实反映各方意见和需求，增加评价的广泛性和代表性。</w:t>
      </w:r>
    </w:p>
    <w:p>
      <w:pPr>
        <w:pStyle w:val="107"/>
        <w:spacing w:before="312" w:after="312"/>
      </w:pPr>
      <w:bookmarkStart w:id="97" w:name="_Toc196128646"/>
      <w:bookmarkStart w:id="98" w:name="_Toc24257"/>
      <w:bookmarkStart w:id="99" w:name="_Toc196128143"/>
      <w:bookmarkStart w:id="100" w:name="_Toc172454959"/>
      <w:bookmarkStart w:id="101" w:name="_Toc172455209"/>
      <w:r>
        <w:rPr>
          <w:rFonts w:hint="eastAsia"/>
        </w:rPr>
        <w:t>总体要求</w:t>
      </w:r>
      <w:bookmarkEnd w:id="97"/>
      <w:bookmarkEnd w:id="98"/>
      <w:bookmarkEnd w:id="99"/>
      <w:bookmarkEnd w:id="100"/>
      <w:bookmarkEnd w:id="101"/>
    </w:p>
    <w:p>
      <w:pPr>
        <w:pStyle w:val="108"/>
        <w:spacing w:before="156" w:after="156"/>
      </w:pPr>
      <w:bookmarkStart w:id="102" w:name="_Toc172454960"/>
      <w:bookmarkStart w:id="103" w:name="_Toc172455210"/>
      <w:bookmarkStart w:id="104" w:name="_Toc24549"/>
      <w:bookmarkStart w:id="105" w:name="_Toc196128647"/>
      <w:bookmarkStart w:id="106" w:name="_Toc196128144"/>
      <w:r>
        <w:rPr>
          <w:rFonts w:hint="eastAsia"/>
        </w:rPr>
        <w:t>评价管理</w:t>
      </w:r>
      <w:bookmarkEnd w:id="102"/>
      <w:bookmarkEnd w:id="103"/>
      <w:bookmarkEnd w:id="104"/>
      <w:bookmarkEnd w:id="105"/>
      <w:bookmarkEnd w:id="106"/>
    </w:p>
    <w:p>
      <w:pPr>
        <w:pStyle w:val="168"/>
        <w:rPr>
          <w:kern w:val="2"/>
          <w:szCs w:val="21"/>
        </w:rPr>
      </w:pPr>
      <w:r>
        <w:t>营商环境评价每年开展</w:t>
      </w:r>
      <w:r>
        <w:rPr>
          <w:rFonts w:hint="eastAsia"/>
        </w:rPr>
        <w:t>1</w:t>
      </w:r>
      <w:r>
        <w:t>次</w:t>
      </w:r>
      <w:r>
        <w:rPr>
          <w:rFonts w:hint="eastAsia"/>
        </w:rPr>
        <w:t>；如有需要，可根据实际情况</w:t>
      </w:r>
      <w:r>
        <w:t>进行调整。</w:t>
      </w:r>
    </w:p>
    <w:p>
      <w:pPr>
        <w:pStyle w:val="168"/>
      </w:pPr>
      <w:r>
        <w:rPr>
          <w:rFonts w:hint="eastAsia"/>
        </w:rPr>
        <w:t>数据采集应使用一致的统计方法和测算周期，能进行横向或纵向对比。</w:t>
      </w:r>
    </w:p>
    <w:p>
      <w:pPr>
        <w:pStyle w:val="168"/>
      </w:pPr>
      <w:r>
        <w:rPr>
          <w:rFonts w:hint="eastAsia"/>
        </w:rPr>
        <w:t>应对营商环境评价全过程进行监督管理，确保评价科学合理、方法措施规范、过程公开透明、结果公平公正。</w:t>
      </w:r>
    </w:p>
    <w:p>
      <w:pPr>
        <w:pStyle w:val="168"/>
      </w:pPr>
      <w:r>
        <w:t>营商环境评价相关指标、规则、标准、问卷等应按照相关规定进行公开。</w:t>
      </w:r>
    </w:p>
    <w:p>
      <w:pPr>
        <w:pStyle w:val="108"/>
        <w:spacing w:before="156" w:after="156"/>
        <w:rPr>
          <w:rFonts w:hint="default" w:ascii="Times New Roman" w:hAnsi="Times New Roman" w:cs="Times New Roman"/>
        </w:rPr>
      </w:pPr>
      <w:bookmarkStart w:id="107" w:name="_Toc196128648"/>
      <w:bookmarkStart w:id="108" w:name="_Toc196128145"/>
      <w:bookmarkStart w:id="109" w:name="_Toc172455211"/>
      <w:bookmarkStart w:id="110" w:name="_Toc10866"/>
      <w:bookmarkStart w:id="111" w:name="_Toc172454961"/>
      <w:r>
        <w:rPr>
          <w:rFonts w:hint="default" w:ascii="Times New Roman" w:hAnsi="Times New Roman" w:cs="Times New Roman"/>
        </w:rPr>
        <w:t>评价主体</w:t>
      </w:r>
      <w:bookmarkEnd w:id="107"/>
      <w:bookmarkEnd w:id="108"/>
      <w:bookmarkEnd w:id="109"/>
      <w:bookmarkEnd w:id="110"/>
      <w:bookmarkEnd w:id="111"/>
    </w:p>
    <w:p>
      <w:pPr>
        <w:pStyle w:val="168"/>
        <w:rPr>
          <w:rFonts w:hint="default" w:ascii="Times New Roman" w:hAnsi="Times New Roman" w:cs="Times New Roman"/>
        </w:rPr>
      </w:pPr>
      <w:r>
        <w:rPr>
          <w:rFonts w:hint="default" w:ascii="Times New Roman" w:hAnsi="Times New Roman" w:cs="Times New Roman"/>
        </w:rPr>
        <w:t>评价主体应熟悉营商环境和营商环境评价，具备相关工作经验、专业团队和组织实施能力，确保评价活动高质量开展。</w:t>
      </w:r>
    </w:p>
    <w:p>
      <w:pPr>
        <w:pStyle w:val="168"/>
        <w:rPr>
          <w:rFonts w:hint="default" w:ascii="Times New Roman" w:hAnsi="Times New Roman" w:cs="Times New Roman"/>
        </w:rPr>
      </w:pPr>
      <w:r>
        <w:rPr>
          <w:rFonts w:hint="default" w:ascii="Times New Roman" w:hAnsi="Times New Roman" w:cs="Times New Roman"/>
        </w:rPr>
        <w:t>评价主体不应受评价对象影响且具有较强的独立性，评价人员应秉持诚实正直的职业道德和操守，确保评价结果不受任何个人或团体的主观意愿影响。</w:t>
      </w:r>
    </w:p>
    <w:p>
      <w:pPr>
        <w:pStyle w:val="168"/>
        <w:rPr>
          <w:rFonts w:hint="default" w:ascii="Times New Roman" w:hAnsi="Times New Roman" w:cs="Times New Roman"/>
        </w:rPr>
      </w:pPr>
      <w:r>
        <w:rPr>
          <w:rFonts w:hint="default" w:ascii="Times New Roman" w:hAnsi="Times New Roman" w:cs="Times New Roman"/>
        </w:rPr>
        <w:t>评价主体应建立健全工作制度、强化内部管理，规范开展评价活动，依法依规采集、使用和管理评价中的有关数据。</w:t>
      </w:r>
    </w:p>
    <w:p>
      <w:pPr>
        <w:pStyle w:val="168"/>
        <w:rPr>
          <w:rFonts w:hint="default" w:ascii="Times New Roman" w:hAnsi="Times New Roman" w:cs="Times New Roman"/>
        </w:rPr>
      </w:pPr>
      <w:r>
        <w:rPr>
          <w:rFonts w:hint="default" w:ascii="Times New Roman" w:hAnsi="Times New Roman" w:cs="Times New Roman"/>
        </w:rPr>
        <w:t>评价主体不应与评价对象存在利益关系。</w:t>
      </w:r>
    </w:p>
    <w:p>
      <w:pPr>
        <w:pStyle w:val="107"/>
        <w:spacing w:before="312" w:after="312"/>
        <w:rPr>
          <w:rFonts w:hint="default" w:ascii="Times New Roman" w:hAnsi="Times New Roman" w:cs="Times New Roman"/>
        </w:rPr>
      </w:pPr>
      <w:bookmarkStart w:id="112" w:name="_Toc171183152"/>
      <w:bookmarkStart w:id="113" w:name="_Toc171183396"/>
      <w:bookmarkStart w:id="114" w:name="_Toc170815188"/>
      <w:bookmarkStart w:id="115" w:name="_Toc172455212"/>
      <w:bookmarkStart w:id="116" w:name="_Toc170823225"/>
      <w:bookmarkStart w:id="117" w:name="_Toc171183765"/>
      <w:bookmarkStart w:id="118" w:name="_Toc196128649"/>
      <w:bookmarkStart w:id="119" w:name="_Toc196128146"/>
      <w:bookmarkStart w:id="120" w:name="_Toc172454962"/>
      <w:bookmarkStart w:id="121" w:name="_Toc171183335"/>
      <w:bookmarkStart w:id="122" w:name="_Toc170841483"/>
      <w:bookmarkStart w:id="123" w:name="_Toc3276"/>
      <w:r>
        <w:rPr>
          <w:rFonts w:hint="default" w:ascii="Times New Roman" w:hAnsi="Times New Roman" w:cs="Times New Roman"/>
        </w:rPr>
        <w:t>评价依据</w:t>
      </w:r>
      <w:bookmarkEnd w:id="112"/>
      <w:bookmarkEnd w:id="113"/>
      <w:bookmarkEnd w:id="114"/>
      <w:bookmarkEnd w:id="115"/>
      <w:bookmarkEnd w:id="116"/>
      <w:bookmarkEnd w:id="117"/>
      <w:bookmarkEnd w:id="118"/>
      <w:bookmarkEnd w:id="119"/>
      <w:bookmarkEnd w:id="120"/>
      <w:bookmarkEnd w:id="121"/>
      <w:bookmarkEnd w:id="122"/>
      <w:bookmarkEnd w:id="123"/>
    </w:p>
    <w:p>
      <w:pPr>
        <w:pStyle w:val="59"/>
        <w:ind w:firstLine="420"/>
      </w:pPr>
      <w:r>
        <w:rPr>
          <w:rFonts w:hint="eastAsia"/>
        </w:rPr>
        <w:t>依据世界银行营商环境评价体系、中国营商环境评价指标体系和方法，《优化营商环境条例》《宁夏回族自治区优化营商环境条例》《宁夏回族自治区营商环境评价管理办法（试行）》以及其他相关政策、文件开展宁夏回族自治区营商环境评价。</w:t>
      </w:r>
    </w:p>
    <w:p>
      <w:pPr>
        <w:pStyle w:val="107"/>
        <w:spacing w:before="312" w:after="312"/>
      </w:pPr>
      <w:bookmarkStart w:id="124" w:name="_Toc170815200"/>
      <w:bookmarkStart w:id="125" w:name="_Toc170823237"/>
      <w:bookmarkStart w:id="126" w:name="_Toc171183397"/>
      <w:bookmarkStart w:id="127" w:name="_Toc171183336"/>
      <w:bookmarkStart w:id="128" w:name="_Toc171183766"/>
      <w:bookmarkStart w:id="129" w:name="_Toc23530"/>
      <w:bookmarkStart w:id="130" w:name="_Toc196128147"/>
      <w:bookmarkStart w:id="131" w:name="_Toc196128650"/>
      <w:bookmarkStart w:id="132" w:name="_Toc172455213"/>
      <w:bookmarkStart w:id="133" w:name="_Toc170841495"/>
      <w:bookmarkStart w:id="134" w:name="_Toc172454963"/>
      <w:r>
        <w:rPr>
          <w:rFonts w:hint="eastAsia"/>
        </w:rPr>
        <w:t>评价指标体系</w:t>
      </w:r>
      <w:bookmarkEnd w:id="124"/>
      <w:bookmarkEnd w:id="125"/>
      <w:bookmarkEnd w:id="126"/>
      <w:bookmarkEnd w:id="127"/>
      <w:bookmarkEnd w:id="128"/>
      <w:bookmarkEnd w:id="129"/>
      <w:bookmarkEnd w:id="130"/>
      <w:bookmarkEnd w:id="131"/>
      <w:bookmarkEnd w:id="132"/>
      <w:bookmarkEnd w:id="133"/>
      <w:bookmarkEnd w:id="134"/>
    </w:p>
    <w:p>
      <w:pPr>
        <w:pStyle w:val="165"/>
      </w:pPr>
      <w:r>
        <w:rPr>
          <w:rFonts w:hint="eastAsia"/>
        </w:rPr>
        <w:t>自治区地级市、县（市）、市辖区营商环境评价采用指标评价、企业评价结合的方式进行综合评价，其中：</w:t>
      </w:r>
    </w:p>
    <w:p>
      <w:pPr>
        <w:pStyle w:val="135"/>
      </w:pPr>
      <w:r>
        <w:rPr>
          <w:rFonts w:hint="eastAsia"/>
        </w:rPr>
        <w:t>指标评价，由评价主体按照附录A的评价指标体系测算评价对象各项指标得分，满分100分，评价结果占比权重为70%；</w:t>
      </w:r>
    </w:p>
    <w:p>
      <w:pPr>
        <w:pStyle w:val="135"/>
      </w:pPr>
      <w:r>
        <w:rPr>
          <w:rFonts w:hint="eastAsia"/>
        </w:rPr>
        <w:t>企业评价，根据企业对各地、各部门营商环境满意度调查结果测算，满分100分，调查结果占比权重为30%。</w:t>
      </w:r>
    </w:p>
    <w:p>
      <w:pPr>
        <w:pStyle w:val="165"/>
      </w:pPr>
      <w:r>
        <w:rPr>
          <w:rFonts w:hint="eastAsia"/>
        </w:rPr>
        <w:t>自治区园区营商环境评价采用企业评价的方式进行，根据企业对各地、各部门营商环境满意度调查结果测算，满分100分，调查结果占比权重为100%。</w:t>
      </w:r>
    </w:p>
    <w:p>
      <w:pPr>
        <w:pStyle w:val="165"/>
      </w:pPr>
      <w:r>
        <w:rPr>
          <w:rFonts w:hint="eastAsia"/>
        </w:rPr>
        <w:t>宁夏回族自治区营商环境评价指标体系按照附录A执行，包含</w:t>
      </w:r>
      <w:r>
        <w:rPr>
          <w:rFonts w:hint="eastAsia"/>
          <w:color w:val="000000" w:themeColor="text1"/>
          <w14:textFill>
            <w14:solidFill>
              <w14:schemeClr w14:val="tx1"/>
            </w14:solidFill>
          </w14:textFill>
        </w:rPr>
        <w:t>市场环境、公共服务、</w:t>
      </w:r>
      <w:r>
        <w:rPr>
          <w:rFonts w:hint="eastAsia"/>
        </w:rPr>
        <w:t>政务环境、法治环境4个</w:t>
      </w:r>
      <w:r>
        <w:rPr>
          <w:rFonts w:hint="eastAsia"/>
          <w:lang w:val="en-US" w:eastAsia="zh-CN"/>
        </w:rPr>
        <w:t>一级指标</w:t>
      </w:r>
      <w:r>
        <w:rPr>
          <w:rFonts w:hint="eastAsia"/>
        </w:rPr>
        <w:t>，1</w:t>
      </w:r>
      <w:r>
        <w:t>9</w:t>
      </w:r>
      <w:r>
        <w:rPr>
          <w:rFonts w:hint="eastAsia"/>
        </w:rPr>
        <w:t>项</w:t>
      </w:r>
      <w:r>
        <w:rPr>
          <w:rFonts w:hint="eastAsia"/>
          <w:lang w:val="en-US" w:eastAsia="zh-CN"/>
        </w:rPr>
        <w:t>二</w:t>
      </w:r>
      <w:r>
        <w:rPr>
          <w:rFonts w:hint="eastAsia"/>
        </w:rPr>
        <w:t>级指标（指标及说明见表1），每项一级指标下包含若干二级指标和评定方式。</w:t>
      </w:r>
    </w:p>
    <w:p>
      <w:pPr>
        <w:pStyle w:val="115"/>
        <w:spacing w:before="156" w:after="156"/>
      </w:pPr>
      <w:r>
        <w:rPr>
          <w:rFonts w:hint="eastAsia"/>
        </w:rPr>
        <w:t>营商环境评价维度与一级指标说明</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576"/>
        <w:gridCol w:w="848"/>
        <w:gridCol w:w="1401"/>
        <w:gridCol w:w="65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blHeader/>
          <w:jc w:val="center"/>
        </w:trPr>
        <w:tc>
          <w:tcPr>
            <w:tcW w:w="576" w:type="dxa"/>
            <w:shd w:val="clear" w:color="auto" w:fill="auto"/>
            <w:vAlign w:val="center"/>
          </w:tcPr>
          <w:p>
            <w:pPr>
              <w:pStyle w:val="181"/>
              <w:rPr>
                <w:rFonts w:hint="eastAsia" w:hAnsi="宋体"/>
                <w:b/>
                <w:kern w:val="2"/>
                <w:szCs w:val="18"/>
              </w:rPr>
            </w:pPr>
            <w:r>
              <w:rPr>
                <w:rFonts w:hint="eastAsia" w:hAnsi="宋体"/>
                <w:b/>
                <w:kern w:val="2"/>
                <w:szCs w:val="18"/>
              </w:rPr>
              <w:t>序号</w:t>
            </w:r>
          </w:p>
        </w:tc>
        <w:tc>
          <w:tcPr>
            <w:tcW w:w="848" w:type="dxa"/>
            <w:shd w:val="clear" w:color="auto" w:fill="auto"/>
            <w:vAlign w:val="center"/>
          </w:tcPr>
          <w:p>
            <w:pPr>
              <w:pStyle w:val="181"/>
              <w:rPr>
                <w:rFonts w:hint="default" w:hAnsi="宋体" w:eastAsia="宋体"/>
                <w:b/>
                <w:kern w:val="2"/>
                <w:szCs w:val="18"/>
                <w:lang w:val="en-US" w:eastAsia="zh-CN"/>
              </w:rPr>
            </w:pPr>
            <w:r>
              <w:rPr>
                <w:rFonts w:hint="eastAsia" w:hAnsi="宋体"/>
                <w:b/>
                <w:kern w:val="2"/>
                <w:szCs w:val="18"/>
                <w:lang w:val="en-US" w:eastAsia="zh-CN"/>
              </w:rPr>
              <w:t>一级指标</w:t>
            </w:r>
          </w:p>
        </w:tc>
        <w:tc>
          <w:tcPr>
            <w:tcW w:w="1401" w:type="dxa"/>
            <w:shd w:val="clear" w:color="auto" w:fill="auto"/>
            <w:vAlign w:val="center"/>
          </w:tcPr>
          <w:p>
            <w:pPr>
              <w:pStyle w:val="181"/>
              <w:rPr>
                <w:rFonts w:hint="eastAsia" w:hAnsi="宋体"/>
                <w:b/>
                <w:kern w:val="2"/>
                <w:szCs w:val="18"/>
              </w:rPr>
            </w:pPr>
            <w:r>
              <w:rPr>
                <w:rFonts w:hint="eastAsia" w:hAnsi="宋体"/>
                <w:b/>
                <w:kern w:val="2"/>
                <w:szCs w:val="18"/>
                <w:lang w:val="en-US" w:eastAsia="zh-CN"/>
              </w:rPr>
              <w:t>二</w:t>
            </w:r>
            <w:r>
              <w:rPr>
                <w:rFonts w:hint="eastAsia" w:hAnsi="宋体"/>
                <w:b/>
                <w:kern w:val="2"/>
                <w:szCs w:val="18"/>
              </w:rPr>
              <w:t>级指标</w:t>
            </w:r>
          </w:p>
        </w:tc>
        <w:tc>
          <w:tcPr>
            <w:tcW w:w="6509" w:type="dxa"/>
            <w:shd w:val="clear" w:color="auto" w:fill="auto"/>
            <w:vAlign w:val="center"/>
          </w:tcPr>
          <w:p>
            <w:pPr>
              <w:pStyle w:val="181"/>
              <w:rPr>
                <w:rFonts w:hint="eastAsia" w:hAnsi="宋体"/>
                <w:b/>
                <w:kern w:val="2"/>
                <w:szCs w:val="18"/>
              </w:rPr>
            </w:pPr>
            <w:r>
              <w:rPr>
                <w:rFonts w:hint="eastAsia" w:hAnsi="宋体"/>
                <w:b/>
                <w:kern w:val="2"/>
                <w:szCs w:val="18"/>
              </w:rPr>
              <w:t>一级指标说明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576" w:type="dxa"/>
            <w:shd w:val="clear" w:color="auto" w:fill="auto"/>
            <w:vAlign w:val="center"/>
          </w:tcPr>
          <w:p>
            <w:pPr>
              <w:pStyle w:val="181"/>
              <w:rPr>
                <w:rFonts w:hint="eastAsia" w:hAnsi="宋体"/>
                <w:kern w:val="2"/>
                <w:szCs w:val="18"/>
              </w:rPr>
            </w:pPr>
            <w:r>
              <w:rPr>
                <w:rFonts w:hint="eastAsia" w:hAnsi="宋体"/>
                <w:kern w:val="2"/>
                <w:szCs w:val="18"/>
              </w:rPr>
              <w:t>1</w:t>
            </w:r>
          </w:p>
        </w:tc>
        <w:tc>
          <w:tcPr>
            <w:tcW w:w="848" w:type="dxa"/>
            <w:vMerge w:val="restart"/>
            <w:shd w:val="clear" w:color="auto" w:fill="auto"/>
            <w:vAlign w:val="center"/>
          </w:tcPr>
          <w:p>
            <w:pPr>
              <w:pStyle w:val="181"/>
              <w:rPr>
                <w:rFonts w:hint="eastAsia" w:hAnsi="宋体"/>
                <w:kern w:val="2"/>
                <w:szCs w:val="18"/>
              </w:rPr>
            </w:pPr>
            <w:r>
              <w:rPr>
                <w:rFonts w:hint="eastAsia" w:hAnsi="宋体"/>
                <w:kern w:val="2"/>
                <w:szCs w:val="18"/>
              </w:rPr>
              <w:t>市场环境</w:t>
            </w:r>
          </w:p>
        </w:tc>
        <w:tc>
          <w:tcPr>
            <w:tcW w:w="1401" w:type="dxa"/>
            <w:shd w:val="clear" w:color="auto" w:fill="auto"/>
            <w:vAlign w:val="center"/>
          </w:tcPr>
          <w:p>
            <w:pPr>
              <w:pStyle w:val="181"/>
              <w:rPr>
                <w:rFonts w:hint="eastAsia" w:hAnsi="宋体"/>
                <w:kern w:val="2"/>
                <w:szCs w:val="18"/>
              </w:rPr>
            </w:pPr>
            <w:r>
              <w:rPr>
                <w:rFonts w:hint="eastAsia" w:hAnsi="宋体"/>
                <w:kern w:val="2"/>
                <w:szCs w:val="18"/>
              </w:rPr>
              <w:t>市场准入</w:t>
            </w:r>
          </w:p>
        </w:tc>
        <w:tc>
          <w:tcPr>
            <w:tcW w:w="6509" w:type="dxa"/>
            <w:shd w:val="clear" w:color="auto" w:fill="auto"/>
            <w:vAlign w:val="center"/>
          </w:tcPr>
          <w:p>
            <w:pPr>
              <w:pStyle w:val="181"/>
              <w:jc w:val="both"/>
              <w:rPr>
                <w:rFonts w:hint="eastAsia" w:hAnsi="宋体"/>
                <w:kern w:val="2"/>
                <w:szCs w:val="18"/>
              </w:rPr>
            </w:pPr>
            <w:r>
              <w:rPr>
                <w:rFonts w:hint="eastAsia" w:hAnsi="宋体"/>
                <w:kern w:val="2"/>
                <w:szCs w:val="18"/>
              </w:rPr>
              <w:t>衡量市场主体从设立到具备一般性经营条件以及注销过程中所需经历的政府审批、外部办事流程，以及提升市场准入便利化水平等情况。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576" w:type="dxa"/>
            <w:shd w:val="clear" w:color="auto" w:fill="auto"/>
            <w:vAlign w:val="center"/>
          </w:tcPr>
          <w:p>
            <w:pPr>
              <w:pStyle w:val="181"/>
              <w:rPr>
                <w:rFonts w:hint="eastAsia" w:hAnsi="宋体"/>
                <w:kern w:val="2"/>
                <w:szCs w:val="18"/>
              </w:rPr>
            </w:pPr>
            <w:r>
              <w:rPr>
                <w:rFonts w:hint="eastAsia" w:hAnsi="宋体"/>
                <w:kern w:val="2"/>
                <w:szCs w:val="18"/>
              </w:rPr>
              <w:t>2</w:t>
            </w:r>
          </w:p>
        </w:tc>
        <w:tc>
          <w:tcPr>
            <w:tcW w:w="848" w:type="dxa"/>
            <w:vMerge w:val="continue"/>
            <w:shd w:val="clear" w:color="auto" w:fill="auto"/>
            <w:vAlign w:val="center"/>
          </w:tcPr>
          <w:p>
            <w:pPr>
              <w:pStyle w:val="181"/>
              <w:rPr>
                <w:rFonts w:hint="eastAsia" w:hAnsi="宋体"/>
                <w:kern w:val="2"/>
                <w:szCs w:val="18"/>
              </w:rPr>
            </w:pPr>
          </w:p>
        </w:tc>
        <w:tc>
          <w:tcPr>
            <w:tcW w:w="1401" w:type="dxa"/>
            <w:shd w:val="clear" w:color="auto" w:fill="auto"/>
            <w:vAlign w:val="center"/>
          </w:tcPr>
          <w:p>
            <w:pPr>
              <w:pStyle w:val="181"/>
              <w:rPr>
                <w:rFonts w:hint="eastAsia" w:hAnsi="宋体"/>
                <w:kern w:val="2"/>
                <w:szCs w:val="18"/>
              </w:rPr>
            </w:pPr>
            <w:r>
              <w:rPr>
                <w:rFonts w:hint="eastAsia" w:hAnsi="宋体"/>
                <w:kern w:val="2"/>
                <w:szCs w:val="18"/>
              </w:rPr>
              <w:t>政府采购</w:t>
            </w:r>
          </w:p>
        </w:tc>
        <w:tc>
          <w:tcPr>
            <w:tcW w:w="6509" w:type="dxa"/>
            <w:shd w:val="clear" w:color="auto" w:fill="auto"/>
            <w:vAlign w:val="center"/>
          </w:tcPr>
          <w:p>
            <w:pPr>
              <w:pStyle w:val="181"/>
              <w:jc w:val="both"/>
              <w:rPr>
                <w:rFonts w:hint="eastAsia" w:hAnsi="宋体"/>
                <w:kern w:val="2"/>
                <w:szCs w:val="18"/>
              </w:rPr>
            </w:pPr>
            <w:r>
              <w:rPr>
                <w:rFonts w:hint="eastAsia" w:hAnsi="宋体"/>
                <w:kern w:val="2"/>
                <w:szCs w:val="18"/>
              </w:rPr>
              <w:t>衡量市场主体进入政府采购市场、参加政府采购活动，以及获得政府采购政策支持的便利化水平。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576" w:type="dxa"/>
            <w:shd w:val="clear" w:color="auto" w:fill="auto"/>
            <w:vAlign w:val="center"/>
          </w:tcPr>
          <w:p>
            <w:pPr>
              <w:pStyle w:val="181"/>
              <w:rPr>
                <w:rFonts w:hint="eastAsia" w:hAnsi="宋体"/>
                <w:kern w:val="2"/>
                <w:szCs w:val="18"/>
              </w:rPr>
            </w:pPr>
            <w:r>
              <w:rPr>
                <w:rFonts w:hint="eastAsia" w:hAnsi="宋体"/>
                <w:kern w:val="2"/>
                <w:szCs w:val="18"/>
              </w:rPr>
              <w:t>3</w:t>
            </w:r>
          </w:p>
        </w:tc>
        <w:tc>
          <w:tcPr>
            <w:tcW w:w="848" w:type="dxa"/>
            <w:vMerge w:val="continue"/>
            <w:shd w:val="clear" w:color="auto" w:fill="auto"/>
            <w:vAlign w:val="center"/>
          </w:tcPr>
          <w:p>
            <w:pPr>
              <w:pStyle w:val="181"/>
              <w:rPr>
                <w:rFonts w:hint="eastAsia" w:hAnsi="宋体"/>
                <w:kern w:val="2"/>
                <w:szCs w:val="18"/>
              </w:rPr>
            </w:pPr>
          </w:p>
        </w:tc>
        <w:tc>
          <w:tcPr>
            <w:tcW w:w="1401" w:type="dxa"/>
            <w:shd w:val="clear" w:color="auto" w:fill="auto"/>
            <w:vAlign w:val="center"/>
          </w:tcPr>
          <w:p>
            <w:pPr>
              <w:pStyle w:val="181"/>
              <w:rPr>
                <w:rFonts w:hint="eastAsia" w:hAnsi="宋体"/>
                <w:kern w:val="2"/>
                <w:szCs w:val="18"/>
              </w:rPr>
            </w:pPr>
            <w:r>
              <w:rPr>
                <w:rFonts w:hint="eastAsia" w:hAnsi="宋体"/>
                <w:kern w:val="2"/>
                <w:szCs w:val="18"/>
              </w:rPr>
              <w:t>招标投标</w:t>
            </w:r>
          </w:p>
        </w:tc>
        <w:tc>
          <w:tcPr>
            <w:tcW w:w="6509" w:type="dxa"/>
            <w:shd w:val="clear" w:color="auto" w:fill="auto"/>
            <w:vAlign w:val="center"/>
          </w:tcPr>
          <w:p>
            <w:pPr>
              <w:pStyle w:val="181"/>
              <w:jc w:val="both"/>
              <w:rPr>
                <w:rFonts w:hint="eastAsia" w:hAnsi="宋体"/>
                <w:kern w:val="2"/>
                <w:szCs w:val="18"/>
              </w:rPr>
            </w:pPr>
            <w:r>
              <w:rPr>
                <w:rFonts w:hint="eastAsia" w:hAnsi="宋体"/>
                <w:kern w:val="2"/>
                <w:szCs w:val="18"/>
              </w:rPr>
              <w:t>衡量招标投标市场开放程度、市场主体参加招标投标活动的便利化水平，以及市场主体权益保障等情况。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576" w:type="dxa"/>
            <w:shd w:val="clear" w:color="auto" w:fill="auto"/>
            <w:vAlign w:val="center"/>
          </w:tcPr>
          <w:p>
            <w:pPr>
              <w:pStyle w:val="181"/>
              <w:rPr>
                <w:rFonts w:hint="eastAsia" w:hAnsi="宋体"/>
                <w:kern w:val="2"/>
                <w:szCs w:val="18"/>
              </w:rPr>
            </w:pPr>
            <w:r>
              <w:rPr>
                <w:rFonts w:hint="eastAsia" w:hAnsi="宋体"/>
                <w:kern w:val="2"/>
                <w:szCs w:val="18"/>
              </w:rPr>
              <w:t>4</w:t>
            </w:r>
          </w:p>
        </w:tc>
        <w:tc>
          <w:tcPr>
            <w:tcW w:w="848" w:type="dxa"/>
            <w:vMerge w:val="continue"/>
            <w:shd w:val="clear" w:color="auto" w:fill="auto"/>
            <w:vAlign w:val="center"/>
          </w:tcPr>
          <w:p>
            <w:pPr>
              <w:pStyle w:val="181"/>
              <w:rPr>
                <w:rFonts w:hint="eastAsia" w:hAnsi="宋体"/>
                <w:kern w:val="2"/>
                <w:szCs w:val="18"/>
              </w:rPr>
            </w:pPr>
          </w:p>
        </w:tc>
        <w:tc>
          <w:tcPr>
            <w:tcW w:w="1401" w:type="dxa"/>
            <w:shd w:val="clear" w:color="auto" w:fill="auto"/>
            <w:vAlign w:val="center"/>
          </w:tcPr>
          <w:p>
            <w:pPr>
              <w:pStyle w:val="181"/>
              <w:rPr>
                <w:rFonts w:hint="eastAsia" w:hAnsi="宋体"/>
                <w:kern w:val="2"/>
                <w:szCs w:val="18"/>
              </w:rPr>
            </w:pPr>
            <w:r>
              <w:rPr>
                <w:rFonts w:hint="eastAsia" w:hAnsi="宋体"/>
                <w:kern w:val="2"/>
                <w:szCs w:val="18"/>
              </w:rPr>
              <w:t>市场开放</w:t>
            </w:r>
          </w:p>
        </w:tc>
        <w:tc>
          <w:tcPr>
            <w:tcW w:w="6509" w:type="dxa"/>
            <w:shd w:val="clear" w:color="auto" w:fill="auto"/>
            <w:vAlign w:val="center"/>
          </w:tcPr>
          <w:p>
            <w:pPr>
              <w:pStyle w:val="181"/>
              <w:jc w:val="both"/>
              <w:rPr>
                <w:rFonts w:hint="eastAsia" w:hAnsi="宋体"/>
                <w:color w:val="FF0000"/>
                <w:kern w:val="2"/>
                <w:szCs w:val="18"/>
              </w:rPr>
            </w:pPr>
            <w:r>
              <w:rPr>
                <w:rFonts w:hint="eastAsia" w:hAnsi="宋体"/>
                <w:color w:val="000000" w:themeColor="text1"/>
                <w:kern w:val="2"/>
                <w:szCs w:val="18"/>
                <w14:textFill>
                  <w14:solidFill>
                    <w14:schemeClr w14:val="tx1"/>
                  </w14:solidFill>
                </w14:textFill>
              </w:rPr>
              <w:t>衡量城市对外资金吸引力、进出口贸易、跨境电商、对外投资合作以及利用外资等情况。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576" w:type="dxa"/>
            <w:shd w:val="clear" w:color="auto" w:fill="auto"/>
            <w:vAlign w:val="center"/>
          </w:tcPr>
          <w:p>
            <w:pPr>
              <w:pStyle w:val="181"/>
              <w:rPr>
                <w:rFonts w:hint="eastAsia" w:hAnsi="宋体"/>
                <w:kern w:val="2"/>
                <w:szCs w:val="18"/>
              </w:rPr>
            </w:pPr>
            <w:r>
              <w:rPr>
                <w:rFonts w:hint="eastAsia" w:hAnsi="宋体"/>
                <w:kern w:val="2"/>
                <w:szCs w:val="18"/>
              </w:rPr>
              <w:t>5</w:t>
            </w:r>
          </w:p>
        </w:tc>
        <w:tc>
          <w:tcPr>
            <w:tcW w:w="848" w:type="dxa"/>
            <w:vMerge w:val="restart"/>
            <w:shd w:val="clear" w:color="auto" w:fill="auto"/>
            <w:vAlign w:val="center"/>
          </w:tcPr>
          <w:p>
            <w:pPr>
              <w:pStyle w:val="181"/>
              <w:rPr>
                <w:rFonts w:hint="eastAsia" w:hAnsi="宋体"/>
                <w:kern w:val="2"/>
                <w:szCs w:val="18"/>
              </w:rPr>
            </w:pPr>
            <w:r>
              <w:rPr>
                <w:rFonts w:hint="eastAsia" w:hAnsi="宋体"/>
                <w:kern w:val="2"/>
                <w:szCs w:val="18"/>
              </w:rPr>
              <w:t>公共服务</w:t>
            </w:r>
          </w:p>
        </w:tc>
        <w:tc>
          <w:tcPr>
            <w:tcW w:w="1401" w:type="dxa"/>
            <w:shd w:val="clear" w:color="auto" w:fill="auto"/>
            <w:vAlign w:val="center"/>
          </w:tcPr>
          <w:p>
            <w:pPr>
              <w:pStyle w:val="181"/>
              <w:rPr>
                <w:rFonts w:hint="eastAsia" w:hAnsi="宋体"/>
                <w:kern w:val="2"/>
                <w:szCs w:val="18"/>
              </w:rPr>
            </w:pPr>
            <w:r>
              <w:rPr>
                <w:rFonts w:hint="eastAsia" w:hAnsi="宋体"/>
                <w:kern w:val="2"/>
                <w:szCs w:val="18"/>
              </w:rPr>
              <w:t>获得电力</w:t>
            </w:r>
          </w:p>
        </w:tc>
        <w:tc>
          <w:tcPr>
            <w:tcW w:w="6509" w:type="dxa"/>
            <w:shd w:val="clear" w:color="auto" w:fill="auto"/>
            <w:vAlign w:val="center"/>
          </w:tcPr>
          <w:p>
            <w:pPr>
              <w:pStyle w:val="181"/>
              <w:jc w:val="both"/>
              <w:rPr>
                <w:rFonts w:hint="eastAsia" w:hAnsi="宋体"/>
                <w:kern w:val="2"/>
                <w:szCs w:val="18"/>
              </w:rPr>
            </w:pPr>
            <w:r>
              <w:rPr>
                <w:rFonts w:hint="eastAsia" w:hAnsi="宋体"/>
                <w:kern w:val="2"/>
                <w:szCs w:val="18"/>
              </w:rPr>
              <w:t>衡量企业首次获得永久性电力所需经历的政府审批和外部办事流程，以及提升获得电力便利化水平等情况。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576" w:type="dxa"/>
            <w:shd w:val="clear" w:color="auto" w:fill="auto"/>
            <w:vAlign w:val="center"/>
          </w:tcPr>
          <w:p>
            <w:pPr>
              <w:pStyle w:val="181"/>
              <w:rPr>
                <w:rFonts w:hint="eastAsia" w:hAnsi="宋体"/>
                <w:kern w:val="2"/>
                <w:szCs w:val="18"/>
              </w:rPr>
            </w:pPr>
            <w:r>
              <w:rPr>
                <w:rFonts w:hint="eastAsia" w:hAnsi="宋体"/>
                <w:kern w:val="2"/>
                <w:szCs w:val="18"/>
              </w:rPr>
              <w:t>6</w:t>
            </w:r>
          </w:p>
        </w:tc>
        <w:tc>
          <w:tcPr>
            <w:tcW w:w="848" w:type="dxa"/>
            <w:vMerge w:val="continue"/>
            <w:shd w:val="clear" w:color="auto" w:fill="auto"/>
            <w:vAlign w:val="center"/>
          </w:tcPr>
          <w:p>
            <w:pPr>
              <w:pStyle w:val="181"/>
              <w:rPr>
                <w:rFonts w:hint="eastAsia" w:hAnsi="宋体"/>
                <w:kern w:val="2"/>
                <w:szCs w:val="18"/>
              </w:rPr>
            </w:pPr>
          </w:p>
        </w:tc>
        <w:tc>
          <w:tcPr>
            <w:tcW w:w="1401" w:type="dxa"/>
            <w:shd w:val="clear" w:color="auto" w:fill="auto"/>
            <w:vAlign w:val="center"/>
          </w:tcPr>
          <w:p>
            <w:pPr>
              <w:pStyle w:val="181"/>
              <w:rPr>
                <w:rFonts w:hint="eastAsia" w:hAnsi="宋体"/>
                <w:kern w:val="2"/>
                <w:szCs w:val="18"/>
              </w:rPr>
            </w:pPr>
            <w:r>
              <w:rPr>
                <w:rFonts w:hint="eastAsia" w:hAnsi="宋体"/>
                <w:kern w:val="2"/>
                <w:szCs w:val="18"/>
              </w:rPr>
              <w:t>获得用水用气用热用网</w:t>
            </w:r>
          </w:p>
        </w:tc>
        <w:tc>
          <w:tcPr>
            <w:tcW w:w="6509" w:type="dxa"/>
            <w:shd w:val="clear" w:color="auto" w:fill="auto"/>
            <w:vAlign w:val="center"/>
          </w:tcPr>
          <w:p>
            <w:pPr>
              <w:pStyle w:val="181"/>
              <w:jc w:val="both"/>
              <w:rPr>
                <w:rFonts w:hint="eastAsia" w:hAnsi="宋体"/>
                <w:kern w:val="2"/>
                <w:szCs w:val="18"/>
              </w:rPr>
            </w:pPr>
            <w:r>
              <w:rPr>
                <w:rFonts w:hint="eastAsia" w:hAnsi="宋体"/>
                <w:kern w:val="2"/>
                <w:szCs w:val="18"/>
              </w:rPr>
              <w:t>衡量企业首次获得用水、用气、用热、网络所需经历的政府审批和外部办事流程，以及提升获得用水、用气、用热、网络便利化水平等情况。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576" w:type="dxa"/>
            <w:shd w:val="clear" w:color="auto" w:fill="auto"/>
            <w:vAlign w:val="center"/>
          </w:tcPr>
          <w:p>
            <w:pPr>
              <w:pStyle w:val="181"/>
              <w:rPr>
                <w:rFonts w:hint="eastAsia" w:hAnsi="宋体"/>
                <w:kern w:val="2"/>
                <w:szCs w:val="18"/>
              </w:rPr>
            </w:pPr>
            <w:r>
              <w:rPr>
                <w:rFonts w:hint="eastAsia" w:hAnsi="宋体"/>
                <w:kern w:val="2"/>
                <w:szCs w:val="18"/>
              </w:rPr>
              <w:t>7</w:t>
            </w:r>
          </w:p>
        </w:tc>
        <w:tc>
          <w:tcPr>
            <w:tcW w:w="848" w:type="dxa"/>
            <w:vMerge w:val="continue"/>
            <w:shd w:val="clear" w:color="auto" w:fill="auto"/>
            <w:vAlign w:val="center"/>
          </w:tcPr>
          <w:p>
            <w:pPr>
              <w:pStyle w:val="181"/>
              <w:rPr>
                <w:rFonts w:hint="eastAsia" w:hAnsi="宋体"/>
                <w:kern w:val="2"/>
                <w:szCs w:val="18"/>
              </w:rPr>
            </w:pPr>
          </w:p>
        </w:tc>
        <w:tc>
          <w:tcPr>
            <w:tcW w:w="1401" w:type="dxa"/>
            <w:shd w:val="clear" w:color="auto" w:fill="auto"/>
            <w:vAlign w:val="center"/>
          </w:tcPr>
          <w:p>
            <w:pPr>
              <w:pStyle w:val="181"/>
              <w:rPr>
                <w:rFonts w:hint="eastAsia" w:hAnsi="宋体"/>
                <w:kern w:val="2"/>
                <w:szCs w:val="18"/>
              </w:rPr>
            </w:pPr>
            <w:r>
              <w:rPr>
                <w:rFonts w:hint="eastAsia" w:hAnsi="宋体"/>
                <w:kern w:val="2"/>
                <w:szCs w:val="18"/>
              </w:rPr>
              <w:t>融资服务</w:t>
            </w:r>
          </w:p>
        </w:tc>
        <w:tc>
          <w:tcPr>
            <w:tcW w:w="6509" w:type="dxa"/>
            <w:shd w:val="clear" w:color="auto" w:fill="auto"/>
            <w:vAlign w:val="center"/>
          </w:tcPr>
          <w:p>
            <w:pPr>
              <w:pStyle w:val="181"/>
              <w:jc w:val="both"/>
              <w:rPr>
                <w:rFonts w:hint="eastAsia" w:hAnsi="宋体"/>
                <w:kern w:val="2"/>
                <w:szCs w:val="18"/>
              </w:rPr>
            </w:pPr>
            <w:r>
              <w:rPr>
                <w:rFonts w:hint="eastAsia" w:hAnsi="宋体"/>
                <w:kern w:val="2"/>
                <w:szCs w:val="18"/>
              </w:rPr>
              <w:t>衡量各地企业融资政策体系建设落实、为企业提供融资服务以及企业获得融资服务的难易程度等情况。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576" w:type="dxa"/>
            <w:shd w:val="clear" w:color="auto" w:fill="auto"/>
            <w:vAlign w:val="center"/>
          </w:tcPr>
          <w:p>
            <w:pPr>
              <w:pStyle w:val="181"/>
              <w:rPr>
                <w:rFonts w:hint="eastAsia" w:hAnsi="宋体"/>
                <w:kern w:val="2"/>
                <w:szCs w:val="18"/>
              </w:rPr>
            </w:pPr>
            <w:r>
              <w:rPr>
                <w:rFonts w:hint="eastAsia" w:hAnsi="宋体"/>
                <w:kern w:val="2"/>
                <w:szCs w:val="18"/>
              </w:rPr>
              <w:t>8</w:t>
            </w:r>
          </w:p>
        </w:tc>
        <w:tc>
          <w:tcPr>
            <w:tcW w:w="848" w:type="dxa"/>
            <w:vMerge w:val="continue"/>
            <w:shd w:val="clear" w:color="auto" w:fill="auto"/>
            <w:vAlign w:val="center"/>
          </w:tcPr>
          <w:p>
            <w:pPr>
              <w:pStyle w:val="181"/>
              <w:rPr>
                <w:rFonts w:hint="eastAsia" w:hAnsi="宋体"/>
                <w:kern w:val="2"/>
                <w:szCs w:val="18"/>
              </w:rPr>
            </w:pPr>
          </w:p>
        </w:tc>
        <w:tc>
          <w:tcPr>
            <w:tcW w:w="1401" w:type="dxa"/>
            <w:shd w:val="clear" w:color="auto" w:fill="auto"/>
            <w:vAlign w:val="center"/>
          </w:tcPr>
          <w:p>
            <w:pPr>
              <w:pStyle w:val="181"/>
              <w:rPr>
                <w:rFonts w:hint="eastAsia" w:hAnsi="宋体"/>
                <w:kern w:val="2"/>
                <w:szCs w:val="18"/>
              </w:rPr>
            </w:pPr>
            <w:r>
              <w:rPr>
                <w:rFonts w:hint="eastAsia" w:hAnsi="宋体"/>
                <w:kern w:val="2"/>
                <w:szCs w:val="18"/>
              </w:rPr>
              <w:t>人力资源</w:t>
            </w:r>
          </w:p>
        </w:tc>
        <w:tc>
          <w:tcPr>
            <w:tcW w:w="6509" w:type="dxa"/>
            <w:shd w:val="clear" w:color="auto" w:fill="auto"/>
            <w:vAlign w:val="center"/>
          </w:tcPr>
          <w:p>
            <w:pPr>
              <w:pStyle w:val="181"/>
              <w:jc w:val="both"/>
              <w:rPr>
                <w:rFonts w:hint="eastAsia" w:hAnsi="宋体"/>
                <w:kern w:val="2"/>
                <w:szCs w:val="18"/>
              </w:rPr>
            </w:pPr>
            <w:r>
              <w:rPr>
                <w:rFonts w:hint="eastAsia" w:hAnsi="宋体"/>
                <w:kern w:val="2"/>
                <w:szCs w:val="18"/>
              </w:rPr>
              <w:t>衡量劳动关系协调、劳动者权益保障、人社服务质效、人才顺畅流动以及人才吸引等情况。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576" w:type="dxa"/>
            <w:shd w:val="clear" w:color="auto" w:fill="auto"/>
            <w:vAlign w:val="center"/>
          </w:tcPr>
          <w:p>
            <w:pPr>
              <w:pStyle w:val="181"/>
              <w:rPr>
                <w:rFonts w:hint="eastAsia" w:hAnsi="宋体"/>
                <w:kern w:val="2"/>
                <w:szCs w:val="18"/>
              </w:rPr>
            </w:pPr>
            <w:r>
              <w:rPr>
                <w:rFonts w:hint="eastAsia" w:hAnsi="宋体"/>
                <w:kern w:val="2"/>
                <w:szCs w:val="18"/>
              </w:rPr>
              <w:t>9</w:t>
            </w:r>
          </w:p>
        </w:tc>
        <w:tc>
          <w:tcPr>
            <w:tcW w:w="848" w:type="dxa"/>
            <w:vMerge w:val="continue"/>
            <w:shd w:val="clear" w:color="auto" w:fill="auto"/>
            <w:vAlign w:val="center"/>
          </w:tcPr>
          <w:p>
            <w:pPr>
              <w:pStyle w:val="181"/>
              <w:rPr>
                <w:rFonts w:hint="eastAsia" w:hAnsi="宋体"/>
                <w:kern w:val="2"/>
                <w:szCs w:val="18"/>
              </w:rPr>
            </w:pPr>
          </w:p>
        </w:tc>
        <w:tc>
          <w:tcPr>
            <w:tcW w:w="1401" w:type="dxa"/>
            <w:shd w:val="clear" w:color="auto" w:fill="auto"/>
            <w:vAlign w:val="center"/>
          </w:tcPr>
          <w:p>
            <w:pPr>
              <w:pStyle w:val="181"/>
              <w:rPr>
                <w:rFonts w:hint="eastAsia" w:hAnsi="宋体"/>
                <w:kern w:val="2"/>
                <w:szCs w:val="18"/>
              </w:rPr>
            </w:pPr>
            <w:r>
              <w:rPr>
                <w:rFonts w:hint="eastAsia" w:hAnsi="宋体"/>
                <w:kern w:val="2"/>
                <w:szCs w:val="18"/>
              </w:rPr>
              <w:t>创新创业</w:t>
            </w:r>
          </w:p>
        </w:tc>
        <w:tc>
          <w:tcPr>
            <w:tcW w:w="6509" w:type="dxa"/>
            <w:shd w:val="clear" w:color="auto" w:fill="auto"/>
            <w:vAlign w:val="center"/>
          </w:tcPr>
          <w:p>
            <w:pPr>
              <w:pStyle w:val="181"/>
              <w:jc w:val="both"/>
              <w:rPr>
                <w:rFonts w:hint="eastAsia" w:hAnsi="宋体"/>
                <w:kern w:val="2"/>
                <w:szCs w:val="18"/>
              </w:rPr>
            </w:pPr>
            <w:r>
              <w:rPr>
                <w:rFonts w:hint="eastAsia" w:hAnsi="宋体"/>
                <w:kern w:val="2"/>
                <w:szCs w:val="18"/>
              </w:rPr>
              <w:t>衡量创新创业的整体发展水平等情况。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576" w:type="dxa"/>
            <w:shd w:val="clear" w:color="auto" w:fill="auto"/>
            <w:vAlign w:val="center"/>
          </w:tcPr>
          <w:p>
            <w:pPr>
              <w:pStyle w:val="181"/>
              <w:rPr>
                <w:rFonts w:hint="eastAsia" w:hAnsi="宋体"/>
                <w:kern w:val="2"/>
                <w:szCs w:val="18"/>
              </w:rPr>
            </w:pPr>
            <w:r>
              <w:rPr>
                <w:rFonts w:hint="eastAsia" w:hAnsi="宋体"/>
                <w:kern w:val="2"/>
                <w:szCs w:val="18"/>
              </w:rPr>
              <w:t>10</w:t>
            </w:r>
          </w:p>
        </w:tc>
        <w:tc>
          <w:tcPr>
            <w:tcW w:w="848" w:type="dxa"/>
            <w:vMerge w:val="continue"/>
            <w:shd w:val="clear" w:color="auto" w:fill="auto"/>
            <w:vAlign w:val="center"/>
          </w:tcPr>
          <w:p>
            <w:pPr>
              <w:pStyle w:val="181"/>
              <w:rPr>
                <w:rFonts w:hint="eastAsia" w:hAnsi="宋体"/>
                <w:kern w:val="2"/>
                <w:szCs w:val="18"/>
              </w:rPr>
            </w:pPr>
          </w:p>
        </w:tc>
        <w:tc>
          <w:tcPr>
            <w:tcW w:w="1401" w:type="dxa"/>
            <w:shd w:val="clear" w:color="auto" w:fill="auto"/>
            <w:vAlign w:val="center"/>
          </w:tcPr>
          <w:p>
            <w:pPr>
              <w:pStyle w:val="181"/>
              <w:rPr>
                <w:rFonts w:hint="eastAsia" w:hAnsi="宋体"/>
                <w:kern w:val="2"/>
                <w:szCs w:val="18"/>
              </w:rPr>
            </w:pPr>
            <w:r>
              <w:rPr>
                <w:rFonts w:hint="eastAsia" w:hAnsi="宋体"/>
                <w:kern w:val="2"/>
                <w:szCs w:val="18"/>
              </w:rPr>
              <w:t>城市品质</w:t>
            </w:r>
          </w:p>
        </w:tc>
        <w:tc>
          <w:tcPr>
            <w:tcW w:w="6509" w:type="dxa"/>
            <w:shd w:val="clear" w:color="auto" w:fill="auto"/>
            <w:vAlign w:val="center"/>
          </w:tcPr>
          <w:p>
            <w:pPr>
              <w:pStyle w:val="181"/>
              <w:jc w:val="both"/>
              <w:rPr>
                <w:rFonts w:hint="eastAsia" w:hAnsi="宋体"/>
                <w:kern w:val="2"/>
                <w:szCs w:val="18"/>
              </w:rPr>
            </w:pPr>
            <w:r>
              <w:rPr>
                <w:rFonts w:hint="eastAsia" w:hAnsi="宋体"/>
                <w:kern w:val="2"/>
                <w:szCs w:val="18"/>
              </w:rPr>
              <w:t>衡量城市提供优质基本公共服务，打造宜居宜业环境等情况。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576" w:type="dxa"/>
            <w:shd w:val="clear" w:color="auto" w:fill="auto"/>
            <w:vAlign w:val="center"/>
          </w:tcPr>
          <w:p>
            <w:pPr>
              <w:pStyle w:val="181"/>
              <w:rPr>
                <w:rFonts w:hint="eastAsia" w:hAnsi="宋体"/>
                <w:kern w:val="2"/>
                <w:szCs w:val="18"/>
              </w:rPr>
            </w:pPr>
            <w:r>
              <w:rPr>
                <w:rFonts w:hint="eastAsia" w:hAnsi="宋体"/>
                <w:kern w:val="2"/>
                <w:szCs w:val="18"/>
              </w:rPr>
              <w:t>11</w:t>
            </w:r>
          </w:p>
        </w:tc>
        <w:tc>
          <w:tcPr>
            <w:tcW w:w="848" w:type="dxa"/>
            <w:vMerge w:val="restart"/>
            <w:shd w:val="clear" w:color="auto" w:fill="auto"/>
            <w:vAlign w:val="center"/>
          </w:tcPr>
          <w:p>
            <w:pPr>
              <w:pStyle w:val="181"/>
              <w:rPr>
                <w:rFonts w:hint="eastAsia" w:hAnsi="宋体"/>
                <w:kern w:val="2"/>
                <w:szCs w:val="18"/>
              </w:rPr>
            </w:pPr>
            <w:r>
              <w:rPr>
                <w:rFonts w:hint="eastAsia" w:hAnsi="宋体"/>
                <w:kern w:val="2"/>
                <w:szCs w:val="18"/>
              </w:rPr>
              <w:t>政务环境</w:t>
            </w:r>
          </w:p>
        </w:tc>
        <w:tc>
          <w:tcPr>
            <w:tcW w:w="1401" w:type="dxa"/>
            <w:shd w:val="clear" w:color="auto" w:fill="auto"/>
            <w:vAlign w:val="center"/>
          </w:tcPr>
          <w:p>
            <w:pPr>
              <w:pStyle w:val="181"/>
              <w:rPr>
                <w:rFonts w:hint="eastAsia" w:hAnsi="宋体"/>
                <w:kern w:val="2"/>
                <w:szCs w:val="18"/>
              </w:rPr>
            </w:pPr>
            <w:r>
              <w:rPr>
                <w:rFonts w:hint="eastAsia" w:hAnsi="宋体"/>
                <w:kern w:val="2"/>
                <w:szCs w:val="18"/>
              </w:rPr>
              <w:t>办理建筑许可</w:t>
            </w:r>
          </w:p>
        </w:tc>
        <w:tc>
          <w:tcPr>
            <w:tcW w:w="6509" w:type="dxa"/>
            <w:shd w:val="clear" w:color="auto" w:fill="auto"/>
            <w:vAlign w:val="center"/>
          </w:tcPr>
          <w:p>
            <w:pPr>
              <w:pStyle w:val="181"/>
              <w:jc w:val="both"/>
              <w:rPr>
                <w:rFonts w:hint="eastAsia" w:hAnsi="宋体"/>
                <w:kern w:val="2"/>
                <w:szCs w:val="18"/>
              </w:rPr>
            </w:pPr>
            <w:r>
              <w:rPr>
                <w:rFonts w:hint="eastAsia" w:hAnsi="宋体"/>
                <w:kern w:val="2"/>
                <w:szCs w:val="18"/>
              </w:rPr>
              <w:t>衡量企业投资建设建筑物所需经历的政府审批和外部办事流程，以及提升工程项目建设审批便利化水平等情况。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76" w:type="dxa"/>
            <w:shd w:val="clear" w:color="auto" w:fill="auto"/>
            <w:vAlign w:val="center"/>
          </w:tcPr>
          <w:p>
            <w:pPr>
              <w:pStyle w:val="181"/>
              <w:rPr>
                <w:rFonts w:hint="eastAsia" w:hAnsi="宋体"/>
                <w:kern w:val="2"/>
                <w:szCs w:val="18"/>
              </w:rPr>
            </w:pPr>
            <w:r>
              <w:rPr>
                <w:rFonts w:hint="eastAsia" w:hAnsi="宋体"/>
                <w:kern w:val="2"/>
                <w:szCs w:val="18"/>
              </w:rPr>
              <w:t>12</w:t>
            </w:r>
          </w:p>
        </w:tc>
        <w:tc>
          <w:tcPr>
            <w:tcW w:w="848" w:type="dxa"/>
            <w:vMerge w:val="continue"/>
            <w:shd w:val="clear" w:color="auto" w:fill="auto"/>
            <w:vAlign w:val="center"/>
          </w:tcPr>
          <w:p>
            <w:pPr>
              <w:pStyle w:val="181"/>
              <w:rPr>
                <w:rFonts w:hint="eastAsia" w:hAnsi="宋体"/>
                <w:kern w:val="2"/>
                <w:szCs w:val="18"/>
              </w:rPr>
            </w:pPr>
          </w:p>
        </w:tc>
        <w:tc>
          <w:tcPr>
            <w:tcW w:w="1401" w:type="dxa"/>
            <w:shd w:val="clear" w:color="auto" w:fill="auto"/>
            <w:vAlign w:val="center"/>
          </w:tcPr>
          <w:p>
            <w:pPr>
              <w:pStyle w:val="181"/>
              <w:rPr>
                <w:rFonts w:hint="eastAsia" w:hAnsi="宋体"/>
                <w:kern w:val="2"/>
                <w:szCs w:val="18"/>
              </w:rPr>
            </w:pPr>
            <w:r>
              <w:rPr>
                <w:rFonts w:hint="eastAsia" w:hAnsi="宋体"/>
                <w:kern w:val="2"/>
                <w:szCs w:val="18"/>
              </w:rPr>
              <w:t>登记财产</w:t>
            </w:r>
          </w:p>
        </w:tc>
        <w:tc>
          <w:tcPr>
            <w:tcW w:w="6509" w:type="dxa"/>
            <w:shd w:val="clear" w:color="auto" w:fill="auto"/>
            <w:vAlign w:val="center"/>
          </w:tcPr>
          <w:p>
            <w:pPr>
              <w:pStyle w:val="181"/>
              <w:jc w:val="both"/>
              <w:rPr>
                <w:rFonts w:hint="eastAsia" w:hAnsi="宋体"/>
                <w:kern w:val="2"/>
                <w:szCs w:val="18"/>
              </w:rPr>
            </w:pPr>
            <w:r>
              <w:rPr>
                <w:rFonts w:hint="eastAsia" w:hAnsi="宋体"/>
                <w:kern w:val="2"/>
                <w:szCs w:val="18"/>
              </w:rPr>
              <w:t>衡量不动产登记所需经历的政府审批和外部机构办事流程，以及提升不动产登记便利化水平，推动构建便捷、高效、便民利民的不动产登记工作体系等情况。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576" w:type="dxa"/>
            <w:shd w:val="clear" w:color="auto" w:fill="auto"/>
            <w:vAlign w:val="center"/>
          </w:tcPr>
          <w:p>
            <w:pPr>
              <w:pStyle w:val="181"/>
              <w:rPr>
                <w:rFonts w:hint="eastAsia" w:hAnsi="宋体"/>
                <w:kern w:val="2"/>
                <w:szCs w:val="18"/>
              </w:rPr>
            </w:pPr>
            <w:r>
              <w:rPr>
                <w:rFonts w:hint="eastAsia" w:hAnsi="宋体"/>
                <w:kern w:val="2"/>
                <w:szCs w:val="18"/>
              </w:rPr>
              <w:t>13</w:t>
            </w:r>
          </w:p>
        </w:tc>
        <w:tc>
          <w:tcPr>
            <w:tcW w:w="848" w:type="dxa"/>
            <w:vMerge w:val="continue"/>
            <w:shd w:val="clear" w:color="auto" w:fill="auto"/>
            <w:vAlign w:val="center"/>
          </w:tcPr>
          <w:p>
            <w:pPr>
              <w:pStyle w:val="181"/>
              <w:rPr>
                <w:rFonts w:hint="eastAsia" w:hAnsi="宋体"/>
                <w:kern w:val="2"/>
                <w:szCs w:val="18"/>
              </w:rPr>
            </w:pPr>
          </w:p>
        </w:tc>
        <w:tc>
          <w:tcPr>
            <w:tcW w:w="1401" w:type="dxa"/>
            <w:shd w:val="clear" w:color="auto" w:fill="auto"/>
            <w:vAlign w:val="center"/>
          </w:tcPr>
          <w:p>
            <w:pPr>
              <w:pStyle w:val="181"/>
              <w:rPr>
                <w:rFonts w:hint="eastAsia" w:hAnsi="宋体"/>
                <w:kern w:val="2"/>
                <w:szCs w:val="18"/>
              </w:rPr>
            </w:pPr>
            <w:r>
              <w:rPr>
                <w:rFonts w:hint="eastAsia" w:hAnsi="宋体"/>
                <w:kern w:val="2"/>
                <w:szCs w:val="18"/>
              </w:rPr>
              <w:t>纳税</w:t>
            </w:r>
          </w:p>
        </w:tc>
        <w:tc>
          <w:tcPr>
            <w:tcW w:w="6509" w:type="dxa"/>
            <w:shd w:val="clear" w:color="auto" w:fill="auto"/>
            <w:vAlign w:val="center"/>
          </w:tcPr>
          <w:p>
            <w:pPr>
              <w:pStyle w:val="181"/>
              <w:jc w:val="both"/>
              <w:rPr>
                <w:rFonts w:hint="eastAsia" w:hAnsi="宋体"/>
                <w:kern w:val="2"/>
                <w:szCs w:val="18"/>
              </w:rPr>
            </w:pPr>
            <w:r>
              <w:rPr>
                <w:rFonts w:hint="eastAsia" w:hAnsi="宋体"/>
                <w:kern w:val="2"/>
                <w:szCs w:val="18"/>
              </w:rPr>
              <w:t>衡量企业缴纳税费所需经历的政府审批和外部办事流程、因缴纳税费和进行税后合规产生的行政负担，以及提升纳税便利化水平等情况。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576" w:type="dxa"/>
            <w:shd w:val="clear" w:color="auto" w:fill="auto"/>
            <w:vAlign w:val="center"/>
          </w:tcPr>
          <w:p>
            <w:pPr>
              <w:pStyle w:val="181"/>
              <w:rPr>
                <w:rFonts w:hint="eastAsia" w:hAnsi="宋体"/>
                <w:kern w:val="2"/>
                <w:szCs w:val="18"/>
              </w:rPr>
            </w:pPr>
            <w:r>
              <w:rPr>
                <w:rFonts w:hint="eastAsia" w:hAnsi="宋体"/>
                <w:kern w:val="2"/>
                <w:szCs w:val="18"/>
              </w:rPr>
              <w:t>14</w:t>
            </w:r>
          </w:p>
        </w:tc>
        <w:tc>
          <w:tcPr>
            <w:tcW w:w="848" w:type="dxa"/>
            <w:vMerge w:val="continue"/>
            <w:shd w:val="clear" w:color="auto" w:fill="auto"/>
            <w:vAlign w:val="center"/>
          </w:tcPr>
          <w:p>
            <w:pPr>
              <w:pStyle w:val="181"/>
              <w:rPr>
                <w:rFonts w:hint="eastAsia" w:hAnsi="宋体"/>
                <w:kern w:val="2"/>
                <w:szCs w:val="18"/>
              </w:rPr>
            </w:pPr>
          </w:p>
        </w:tc>
        <w:tc>
          <w:tcPr>
            <w:tcW w:w="1401" w:type="dxa"/>
            <w:shd w:val="clear" w:color="auto" w:fill="auto"/>
            <w:vAlign w:val="center"/>
          </w:tcPr>
          <w:p>
            <w:pPr>
              <w:pStyle w:val="181"/>
              <w:rPr>
                <w:rFonts w:hint="eastAsia" w:hAnsi="宋体"/>
                <w:kern w:val="2"/>
                <w:szCs w:val="18"/>
              </w:rPr>
            </w:pPr>
            <w:r>
              <w:rPr>
                <w:rFonts w:hint="eastAsia" w:hAnsi="宋体"/>
                <w:kern w:val="2"/>
                <w:szCs w:val="18"/>
              </w:rPr>
              <w:t>政务服务</w:t>
            </w:r>
          </w:p>
        </w:tc>
        <w:tc>
          <w:tcPr>
            <w:tcW w:w="6509" w:type="dxa"/>
            <w:shd w:val="clear" w:color="auto" w:fill="auto"/>
            <w:vAlign w:val="center"/>
          </w:tcPr>
          <w:p>
            <w:pPr>
              <w:pStyle w:val="181"/>
              <w:jc w:val="both"/>
              <w:rPr>
                <w:rFonts w:hint="eastAsia" w:hAnsi="宋体"/>
                <w:kern w:val="2"/>
                <w:szCs w:val="18"/>
              </w:rPr>
            </w:pPr>
            <w:r>
              <w:rPr>
                <w:rFonts w:hint="eastAsia" w:hAnsi="宋体"/>
                <w:kern w:val="2"/>
                <w:szCs w:val="18"/>
              </w:rPr>
              <w:t>衡量推进政务服务标准化、规范化、便利化建设，以及推动政务信息系统整合共享、提升政策服务水平、提高企业和群众办事效率等情况。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76" w:type="dxa"/>
            <w:shd w:val="clear" w:color="auto" w:fill="auto"/>
            <w:vAlign w:val="center"/>
          </w:tcPr>
          <w:p>
            <w:pPr>
              <w:pStyle w:val="181"/>
              <w:rPr>
                <w:rFonts w:hint="eastAsia" w:hAnsi="宋体"/>
                <w:kern w:val="2"/>
                <w:szCs w:val="18"/>
              </w:rPr>
            </w:pPr>
            <w:r>
              <w:rPr>
                <w:rFonts w:hint="eastAsia" w:hAnsi="宋体"/>
                <w:kern w:val="2"/>
                <w:szCs w:val="18"/>
              </w:rPr>
              <w:t>15</w:t>
            </w:r>
          </w:p>
        </w:tc>
        <w:tc>
          <w:tcPr>
            <w:tcW w:w="848" w:type="dxa"/>
            <w:vMerge w:val="restart"/>
            <w:shd w:val="clear" w:color="auto" w:fill="auto"/>
            <w:vAlign w:val="center"/>
          </w:tcPr>
          <w:p>
            <w:pPr>
              <w:pStyle w:val="181"/>
              <w:keepNext/>
              <w:rPr>
                <w:rFonts w:hint="eastAsia" w:hAnsi="宋体"/>
                <w:kern w:val="2"/>
                <w:szCs w:val="18"/>
              </w:rPr>
            </w:pPr>
            <w:r>
              <w:rPr>
                <w:rFonts w:hint="eastAsia" w:hAnsi="宋体"/>
                <w:kern w:val="2"/>
                <w:szCs w:val="18"/>
              </w:rPr>
              <w:t>法治环境</w:t>
            </w:r>
          </w:p>
        </w:tc>
        <w:tc>
          <w:tcPr>
            <w:tcW w:w="1401" w:type="dxa"/>
            <w:shd w:val="clear" w:color="auto" w:fill="auto"/>
            <w:vAlign w:val="center"/>
          </w:tcPr>
          <w:p>
            <w:pPr>
              <w:pStyle w:val="181"/>
              <w:keepNext/>
              <w:rPr>
                <w:rFonts w:hint="eastAsia" w:hAnsi="宋体"/>
                <w:kern w:val="2"/>
                <w:szCs w:val="18"/>
              </w:rPr>
            </w:pPr>
            <w:r>
              <w:rPr>
                <w:rFonts w:hint="eastAsia" w:hAnsi="宋体"/>
                <w:kern w:val="2"/>
                <w:szCs w:val="18"/>
              </w:rPr>
              <w:t>市场监管</w:t>
            </w:r>
          </w:p>
        </w:tc>
        <w:tc>
          <w:tcPr>
            <w:tcW w:w="6509" w:type="dxa"/>
            <w:shd w:val="clear" w:color="auto" w:fill="auto"/>
            <w:vAlign w:val="center"/>
          </w:tcPr>
          <w:p>
            <w:pPr>
              <w:pStyle w:val="181"/>
              <w:keepNext/>
              <w:jc w:val="both"/>
              <w:rPr>
                <w:rFonts w:hint="eastAsia" w:hAnsi="宋体"/>
                <w:kern w:val="2"/>
                <w:szCs w:val="18"/>
              </w:rPr>
            </w:pPr>
            <w:r>
              <w:rPr>
                <w:rFonts w:hint="eastAsia" w:hAnsi="宋体"/>
                <w:kern w:val="2"/>
                <w:szCs w:val="18"/>
              </w:rPr>
              <w:t>衡量政府部门落实监管责任、创新监管方式以及提高监管效能等情况。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576" w:type="dxa"/>
            <w:shd w:val="clear" w:color="auto" w:fill="auto"/>
            <w:vAlign w:val="center"/>
          </w:tcPr>
          <w:p>
            <w:pPr>
              <w:pStyle w:val="181"/>
              <w:rPr>
                <w:rFonts w:hint="eastAsia" w:hAnsi="宋体"/>
                <w:kern w:val="2"/>
                <w:szCs w:val="18"/>
              </w:rPr>
            </w:pPr>
            <w:r>
              <w:rPr>
                <w:rFonts w:hint="eastAsia" w:hAnsi="宋体"/>
                <w:kern w:val="2"/>
                <w:szCs w:val="18"/>
              </w:rPr>
              <w:t>16</w:t>
            </w:r>
          </w:p>
        </w:tc>
        <w:tc>
          <w:tcPr>
            <w:tcW w:w="848" w:type="dxa"/>
            <w:vMerge w:val="continue"/>
            <w:shd w:val="clear" w:color="auto" w:fill="auto"/>
            <w:vAlign w:val="center"/>
          </w:tcPr>
          <w:p>
            <w:pPr>
              <w:pStyle w:val="181"/>
              <w:keepNext/>
              <w:rPr>
                <w:rFonts w:hint="eastAsia" w:hAnsi="宋体"/>
                <w:kern w:val="2"/>
                <w:szCs w:val="18"/>
              </w:rPr>
            </w:pPr>
          </w:p>
        </w:tc>
        <w:tc>
          <w:tcPr>
            <w:tcW w:w="1401" w:type="dxa"/>
            <w:shd w:val="clear" w:color="auto" w:fill="auto"/>
            <w:vAlign w:val="center"/>
          </w:tcPr>
          <w:p>
            <w:pPr>
              <w:pStyle w:val="181"/>
              <w:keepNext/>
              <w:rPr>
                <w:rFonts w:hint="eastAsia" w:hAnsi="宋体"/>
                <w:kern w:val="2"/>
                <w:szCs w:val="18"/>
              </w:rPr>
            </w:pPr>
            <w:r>
              <w:rPr>
                <w:rFonts w:hint="eastAsia" w:hAnsi="宋体"/>
                <w:kern w:val="2"/>
                <w:szCs w:val="18"/>
              </w:rPr>
              <w:t>解决商业纠纷</w:t>
            </w:r>
          </w:p>
        </w:tc>
        <w:tc>
          <w:tcPr>
            <w:tcW w:w="6509" w:type="dxa"/>
            <w:shd w:val="clear" w:color="auto" w:fill="auto"/>
            <w:vAlign w:val="center"/>
          </w:tcPr>
          <w:p>
            <w:pPr>
              <w:pStyle w:val="181"/>
              <w:keepNext/>
              <w:jc w:val="both"/>
              <w:rPr>
                <w:rFonts w:hint="eastAsia" w:hAnsi="宋体"/>
                <w:kern w:val="2"/>
                <w:szCs w:val="18"/>
              </w:rPr>
            </w:pPr>
            <w:r>
              <w:rPr>
                <w:rFonts w:hint="eastAsia" w:hAnsi="宋体"/>
                <w:kern w:val="2"/>
                <w:szCs w:val="18"/>
              </w:rPr>
              <w:t>衡量企业解决商业纠纷的监管框架与公共服务，以及解决商业纠纷的效率及便利度等情况。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576" w:type="dxa"/>
            <w:shd w:val="clear" w:color="auto" w:fill="auto"/>
            <w:vAlign w:val="center"/>
          </w:tcPr>
          <w:p>
            <w:pPr>
              <w:pStyle w:val="181"/>
              <w:rPr>
                <w:rFonts w:hint="eastAsia" w:hAnsi="宋体"/>
                <w:kern w:val="2"/>
                <w:szCs w:val="18"/>
              </w:rPr>
            </w:pPr>
            <w:r>
              <w:rPr>
                <w:rFonts w:hint="eastAsia" w:hAnsi="宋体"/>
                <w:kern w:val="2"/>
                <w:szCs w:val="18"/>
              </w:rPr>
              <w:t>17</w:t>
            </w:r>
          </w:p>
        </w:tc>
        <w:tc>
          <w:tcPr>
            <w:tcW w:w="848" w:type="dxa"/>
            <w:vMerge w:val="continue"/>
            <w:shd w:val="clear" w:color="auto" w:fill="auto"/>
            <w:vAlign w:val="center"/>
          </w:tcPr>
          <w:p>
            <w:pPr>
              <w:pStyle w:val="181"/>
              <w:rPr>
                <w:rFonts w:hint="eastAsia" w:hAnsi="宋体"/>
                <w:kern w:val="2"/>
                <w:szCs w:val="18"/>
              </w:rPr>
            </w:pPr>
          </w:p>
        </w:tc>
        <w:tc>
          <w:tcPr>
            <w:tcW w:w="1401" w:type="dxa"/>
            <w:shd w:val="clear" w:color="auto" w:fill="auto"/>
            <w:vAlign w:val="center"/>
          </w:tcPr>
          <w:p>
            <w:pPr>
              <w:pStyle w:val="181"/>
              <w:rPr>
                <w:rFonts w:hint="eastAsia" w:hAnsi="宋体"/>
                <w:kern w:val="2"/>
                <w:szCs w:val="18"/>
              </w:rPr>
            </w:pPr>
            <w:r>
              <w:rPr>
                <w:rFonts w:hint="eastAsia" w:hAnsi="宋体"/>
                <w:kern w:val="2"/>
                <w:szCs w:val="18"/>
              </w:rPr>
              <w:t>办理破产</w:t>
            </w:r>
          </w:p>
        </w:tc>
        <w:tc>
          <w:tcPr>
            <w:tcW w:w="6509" w:type="dxa"/>
            <w:shd w:val="clear" w:color="auto" w:fill="auto"/>
            <w:vAlign w:val="center"/>
          </w:tcPr>
          <w:p>
            <w:pPr>
              <w:pStyle w:val="181"/>
              <w:jc w:val="both"/>
              <w:rPr>
                <w:rFonts w:hint="eastAsia" w:hAnsi="宋体"/>
                <w:kern w:val="2"/>
                <w:szCs w:val="18"/>
              </w:rPr>
            </w:pPr>
            <w:r>
              <w:rPr>
                <w:rFonts w:hint="eastAsia" w:hAnsi="宋体"/>
                <w:kern w:val="2"/>
                <w:szCs w:val="18"/>
              </w:rPr>
              <w:t>衡量企业办理破产的监管框架、公共服务，以及破产案件平均办理的时间、成本与债权人回收率等情况。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576" w:type="dxa"/>
            <w:shd w:val="clear" w:color="auto" w:fill="auto"/>
            <w:vAlign w:val="center"/>
          </w:tcPr>
          <w:p>
            <w:pPr>
              <w:pStyle w:val="181"/>
              <w:rPr>
                <w:rFonts w:hint="eastAsia" w:hAnsi="宋体"/>
                <w:kern w:val="2"/>
                <w:szCs w:val="18"/>
              </w:rPr>
            </w:pPr>
            <w:r>
              <w:rPr>
                <w:rFonts w:hint="eastAsia" w:hAnsi="宋体"/>
                <w:kern w:val="2"/>
                <w:szCs w:val="18"/>
              </w:rPr>
              <w:t>18</w:t>
            </w:r>
          </w:p>
        </w:tc>
        <w:tc>
          <w:tcPr>
            <w:tcW w:w="848" w:type="dxa"/>
            <w:vMerge w:val="continue"/>
            <w:shd w:val="clear" w:color="auto" w:fill="auto"/>
            <w:vAlign w:val="center"/>
          </w:tcPr>
          <w:p>
            <w:pPr>
              <w:pStyle w:val="181"/>
              <w:rPr>
                <w:rFonts w:hint="eastAsia" w:hAnsi="宋体"/>
                <w:kern w:val="2"/>
                <w:szCs w:val="18"/>
              </w:rPr>
            </w:pPr>
          </w:p>
        </w:tc>
        <w:tc>
          <w:tcPr>
            <w:tcW w:w="1401" w:type="dxa"/>
            <w:shd w:val="clear" w:color="auto" w:fill="auto"/>
            <w:vAlign w:val="center"/>
          </w:tcPr>
          <w:p>
            <w:pPr>
              <w:pStyle w:val="181"/>
              <w:rPr>
                <w:rFonts w:hint="eastAsia" w:hAnsi="宋体"/>
                <w:kern w:val="2"/>
                <w:szCs w:val="18"/>
              </w:rPr>
            </w:pPr>
            <w:r>
              <w:rPr>
                <w:rFonts w:hint="eastAsia" w:hAnsi="宋体"/>
                <w:kern w:val="2"/>
                <w:szCs w:val="18"/>
              </w:rPr>
              <w:t>信用环境</w:t>
            </w:r>
          </w:p>
        </w:tc>
        <w:tc>
          <w:tcPr>
            <w:tcW w:w="6509" w:type="dxa"/>
            <w:shd w:val="clear" w:color="auto" w:fill="auto"/>
            <w:vAlign w:val="center"/>
          </w:tcPr>
          <w:p>
            <w:pPr>
              <w:pStyle w:val="181"/>
              <w:jc w:val="both"/>
              <w:rPr>
                <w:rFonts w:hint="eastAsia" w:hAnsi="宋体"/>
                <w:kern w:val="2"/>
                <w:szCs w:val="18"/>
              </w:rPr>
            </w:pPr>
            <w:r>
              <w:rPr>
                <w:rFonts w:hint="eastAsia" w:hAnsi="宋体"/>
                <w:kern w:val="2"/>
                <w:szCs w:val="18"/>
              </w:rPr>
              <w:t>衡量社会信用体系建设、提升政府公信力以及社会信用监督管理等情况。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76" w:type="dxa"/>
            <w:shd w:val="clear" w:color="auto" w:fill="auto"/>
            <w:vAlign w:val="center"/>
          </w:tcPr>
          <w:p>
            <w:pPr>
              <w:pStyle w:val="181"/>
              <w:rPr>
                <w:rFonts w:hint="eastAsia" w:hAnsi="宋体"/>
                <w:kern w:val="2"/>
                <w:szCs w:val="18"/>
              </w:rPr>
            </w:pPr>
            <w:r>
              <w:rPr>
                <w:rFonts w:hint="eastAsia" w:hAnsi="宋体"/>
                <w:kern w:val="2"/>
                <w:szCs w:val="18"/>
              </w:rPr>
              <w:t>19</w:t>
            </w:r>
          </w:p>
        </w:tc>
        <w:tc>
          <w:tcPr>
            <w:tcW w:w="848" w:type="dxa"/>
            <w:vMerge w:val="continue"/>
            <w:shd w:val="clear" w:color="auto" w:fill="auto"/>
            <w:vAlign w:val="center"/>
          </w:tcPr>
          <w:p>
            <w:pPr>
              <w:pStyle w:val="181"/>
              <w:rPr>
                <w:rFonts w:hint="eastAsia" w:hAnsi="宋体"/>
                <w:kern w:val="2"/>
                <w:szCs w:val="18"/>
              </w:rPr>
            </w:pPr>
          </w:p>
        </w:tc>
        <w:tc>
          <w:tcPr>
            <w:tcW w:w="1401" w:type="dxa"/>
            <w:shd w:val="clear" w:color="auto" w:fill="auto"/>
            <w:vAlign w:val="center"/>
          </w:tcPr>
          <w:p>
            <w:pPr>
              <w:pStyle w:val="181"/>
              <w:rPr>
                <w:rFonts w:hint="eastAsia" w:hAnsi="宋体"/>
                <w:kern w:val="2"/>
                <w:szCs w:val="18"/>
              </w:rPr>
            </w:pPr>
            <w:r>
              <w:rPr>
                <w:rFonts w:hint="eastAsia" w:hAnsi="宋体"/>
                <w:kern w:val="2"/>
                <w:szCs w:val="18"/>
              </w:rPr>
              <w:t>知识产权创造、保护和运用</w:t>
            </w:r>
          </w:p>
        </w:tc>
        <w:tc>
          <w:tcPr>
            <w:tcW w:w="6509" w:type="dxa"/>
            <w:shd w:val="clear" w:color="auto" w:fill="auto"/>
            <w:vAlign w:val="center"/>
          </w:tcPr>
          <w:p>
            <w:pPr>
              <w:pStyle w:val="181"/>
              <w:jc w:val="both"/>
              <w:rPr>
                <w:rFonts w:hint="eastAsia" w:hAnsi="宋体"/>
                <w:kern w:val="2"/>
                <w:szCs w:val="18"/>
              </w:rPr>
            </w:pPr>
            <w:r>
              <w:rPr>
                <w:rFonts w:hint="eastAsia" w:hAnsi="宋体"/>
                <w:kern w:val="2"/>
                <w:szCs w:val="18"/>
              </w:rPr>
              <w:t>衡量知识产权高质量发展、全链条保护以及知识产权转化运用等情况。</w:t>
            </w:r>
          </w:p>
        </w:tc>
      </w:tr>
    </w:tbl>
    <w:p>
      <w:pPr>
        <w:pStyle w:val="107"/>
        <w:spacing w:before="312" w:after="312"/>
      </w:pPr>
      <w:bookmarkStart w:id="135" w:name="_Toc196128651"/>
      <w:bookmarkStart w:id="136" w:name="_Toc170823238"/>
      <w:bookmarkStart w:id="137" w:name="_Toc170841496"/>
      <w:bookmarkStart w:id="138" w:name="_Toc172454964"/>
      <w:bookmarkStart w:id="139" w:name="_Toc170815203"/>
      <w:bookmarkStart w:id="140" w:name="_Toc171183343"/>
      <w:bookmarkStart w:id="141" w:name="_Toc172455214"/>
      <w:bookmarkStart w:id="142" w:name="_Toc196128148"/>
      <w:bookmarkStart w:id="143" w:name="_Toc171183773"/>
      <w:bookmarkStart w:id="144" w:name="_Toc158215373"/>
      <w:bookmarkStart w:id="145" w:name="_Toc6012"/>
      <w:bookmarkStart w:id="146" w:name="_Toc171183404"/>
      <w:r>
        <w:rPr>
          <w:rFonts w:hint="eastAsia"/>
        </w:rPr>
        <w:t>评价方法</w:t>
      </w:r>
      <w:bookmarkEnd w:id="135"/>
      <w:bookmarkEnd w:id="136"/>
      <w:bookmarkEnd w:id="137"/>
      <w:bookmarkEnd w:id="138"/>
      <w:bookmarkEnd w:id="139"/>
      <w:bookmarkEnd w:id="140"/>
      <w:bookmarkEnd w:id="141"/>
      <w:bookmarkEnd w:id="142"/>
      <w:bookmarkEnd w:id="143"/>
      <w:bookmarkEnd w:id="144"/>
      <w:bookmarkEnd w:id="145"/>
      <w:bookmarkEnd w:id="146"/>
    </w:p>
    <w:p>
      <w:pPr>
        <w:pStyle w:val="108"/>
        <w:spacing w:before="156" w:after="156"/>
        <w:rPr>
          <w:szCs w:val="21"/>
        </w:rPr>
      </w:pPr>
      <w:bookmarkStart w:id="147" w:name="_Toc196128149"/>
      <w:bookmarkStart w:id="148" w:name="_Toc196128652"/>
      <w:bookmarkStart w:id="149" w:name="_Toc1972"/>
      <w:r>
        <w:rPr>
          <w:rFonts w:hint="eastAsia"/>
        </w:rPr>
        <w:t>计分原则</w:t>
      </w:r>
      <w:bookmarkEnd w:id="147"/>
      <w:bookmarkEnd w:id="148"/>
      <w:bookmarkEnd w:id="149"/>
    </w:p>
    <w:p>
      <w:pPr>
        <w:pStyle w:val="168"/>
      </w:pPr>
      <w:r>
        <w:rPr>
          <w:rFonts w:hint="eastAsia"/>
        </w:rPr>
        <w:t>评价指标体系分一级指标、二级指标和评定方式三个层级。</w:t>
      </w:r>
    </w:p>
    <w:p>
      <w:pPr>
        <w:pStyle w:val="168"/>
      </w:pPr>
      <w:r>
        <w:rPr>
          <w:rFonts w:hint="eastAsia"/>
        </w:rPr>
        <w:t>评价对象总得分采用百分制，为其职能职责范围内所有一级指标得分乘以对应权重后加总求和；每个一级指标权重相同，为评价对象职能职责范围内所有一级指标个数分之一。</w:t>
      </w:r>
    </w:p>
    <w:p>
      <w:pPr>
        <w:pStyle w:val="168"/>
      </w:pPr>
      <w:r>
        <w:rPr>
          <w:rFonts w:hint="eastAsia"/>
          <w:lang w:val="en-US" w:eastAsia="zh-CN"/>
        </w:rPr>
        <w:t>一</w:t>
      </w:r>
      <w:r>
        <w:rPr>
          <w:rFonts w:hint="eastAsia"/>
        </w:rPr>
        <w:t>级指标得分采用百分制，为其职能职责范围内所属二级指标得分乘以对应权重后加总求和；每个二级指标权重相同，为评价对象职能职责范围内所有二级指标个数分之一。</w:t>
      </w:r>
    </w:p>
    <w:p>
      <w:pPr>
        <w:pStyle w:val="168"/>
      </w:pPr>
      <w:r>
        <w:rPr>
          <w:rFonts w:hint="eastAsia"/>
        </w:rPr>
        <w:t>二级指标得分采用百分制，为其职能职责范围内</w:t>
      </w:r>
      <w:r>
        <w:rPr>
          <w:rFonts w:hint="eastAsia"/>
          <w:lang w:val="en-US" w:eastAsia="zh-CN"/>
        </w:rPr>
        <w:t>所属</w:t>
      </w:r>
      <w:r>
        <w:rPr>
          <w:rFonts w:hint="eastAsia"/>
        </w:rPr>
        <w:t>评定方式</w:t>
      </w:r>
      <w:r>
        <w:rPr>
          <w:rFonts w:hint="eastAsia"/>
          <w:lang w:val="en-US" w:eastAsia="zh-CN"/>
        </w:rPr>
        <w:t>实际</w:t>
      </w:r>
      <w:r>
        <w:rPr>
          <w:rFonts w:hint="eastAsia"/>
        </w:rPr>
        <w:t>得分加总求和后</w:t>
      </w:r>
      <w:r>
        <w:rPr>
          <w:rFonts w:hint="eastAsia"/>
          <w:lang w:val="en-US" w:eastAsia="zh-CN"/>
        </w:rPr>
        <w:t>除以所属</w:t>
      </w:r>
      <w:r>
        <w:rPr>
          <w:rFonts w:hint="eastAsia"/>
        </w:rPr>
        <w:t>评定方式满分理论合计值</w:t>
      </w:r>
      <w:r>
        <w:rPr>
          <w:rFonts w:hint="eastAsia"/>
          <w:lang w:val="en-US" w:eastAsia="zh-CN"/>
        </w:rPr>
        <w:t>的计算结果</w:t>
      </w:r>
      <w:r>
        <w:rPr>
          <w:rFonts w:hint="eastAsia"/>
        </w:rPr>
        <w:t>。</w:t>
      </w:r>
    </w:p>
    <w:p>
      <w:pPr>
        <w:pStyle w:val="168"/>
      </w:pPr>
      <w:r>
        <w:rPr>
          <w:rFonts w:hint="eastAsia"/>
        </w:rPr>
        <w:t>评定方式得分按照附录A中表A</w:t>
      </w:r>
      <w:r>
        <w:t>.1</w:t>
      </w:r>
      <w:r>
        <w:rPr>
          <w:rFonts w:hint="eastAsia"/>
        </w:rPr>
        <w:t>的评定方式判定后得分。</w:t>
      </w:r>
    </w:p>
    <w:p>
      <w:pPr>
        <w:pStyle w:val="108"/>
        <w:spacing w:before="156" w:after="156"/>
      </w:pPr>
      <w:bookmarkStart w:id="150" w:name="_Toc13620"/>
      <w:bookmarkStart w:id="151" w:name="_Toc196128653"/>
      <w:bookmarkStart w:id="152" w:name="_Toc196128150"/>
      <w:r>
        <w:rPr>
          <w:rFonts w:hint="eastAsia"/>
        </w:rPr>
        <w:t>评定方式得分计算</w:t>
      </w:r>
      <w:bookmarkEnd w:id="150"/>
      <w:bookmarkEnd w:id="151"/>
      <w:bookmarkEnd w:id="152"/>
    </w:p>
    <w:p>
      <w:pPr>
        <w:pStyle w:val="59"/>
        <w:ind w:firstLine="420"/>
      </w:pPr>
      <w:r>
        <w:rPr>
          <w:rFonts w:hint="eastAsia"/>
        </w:rPr>
        <w:t>应按照式（1）前沿距离法，计算出评定方式为前沿距离法的评价内容得分。</w:t>
      </w:r>
    </w:p>
    <w:p>
      <w:pPr>
        <w:pStyle w:val="116"/>
        <w:rPr>
          <w:rFonts w:hint="eastAsia"/>
        </w:rPr>
      </w:pPr>
      <w:r>
        <w:tab/>
      </w:r>
      <m:oMath>
        <m:r>
          <m:rPr>
            <m:sty m:val="p"/>
          </m:rPr>
          <w:rPr>
            <w:rFonts w:ascii="Cambria Math" w:hAnsi="Cambria Math"/>
          </w:rPr>
          <m:t>DTF=</m:t>
        </m:r>
        <m:f>
          <m:fPr>
            <m:ctrlPr>
              <w:rPr>
                <w:rFonts w:ascii="Cambria Math" w:hAnsi="Cambria Math"/>
              </w:rPr>
            </m:ctrlPr>
          </m:fPr>
          <m:num>
            <m:r>
              <m:rPr/>
              <w:rPr>
                <w:rFonts w:ascii="Cambria Math" w:hAnsi="Cambria Math"/>
              </w:rPr>
              <m:t>d−f</m:t>
            </m:r>
            <m:ctrlPr>
              <w:rPr>
                <w:rFonts w:ascii="Cambria Math" w:hAnsi="Cambria Math"/>
              </w:rPr>
            </m:ctrlPr>
          </m:num>
          <m:den>
            <m:r>
              <m:rPr/>
              <w:rPr>
                <w:rFonts w:ascii="Cambria Math" w:hAnsi="Cambria Math"/>
              </w:rPr>
              <m:t>w−f</m:t>
            </m:r>
            <m:ctrlPr>
              <w:rPr>
                <w:rFonts w:ascii="Cambria Math" w:hAnsi="Cambria Math"/>
              </w:rPr>
            </m:ctrlPr>
          </m:den>
        </m:f>
      </m:oMath>
      <w:r>
        <w:rPr>
          <w:rFonts w:ascii="微软雅黑" w:hAnsi="微软雅黑" w:eastAsia="微软雅黑"/>
        </w:rPr>
        <w:tab/>
      </w:r>
      <w:r>
        <w:t>(</w:t>
      </w:r>
      <w:r>
        <w:fldChar w:fldCharType="begin"/>
      </w:r>
      <w:r>
        <w:instrText xml:space="preserve"> AUTONUM </w:instrText>
      </w:r>
      <w:r>
        <w:fldChar w:fldCharType="end"/>
      </w:r>
      <w:r>
        <w:t>)</w:t>
      </w:r>
    </w:p>
    <w:p>
      <w:pPr>
        <w:pStyle w:val="59"/>
        <w:ind w:firstLine="420"/>
      </w:pPr>
      <w:r>
        <w:rPr>
          <w:rFonts w:hint="eastAsia"/>
        </w:rPr>
        <w:t>式中：</w:t>
      </w:r>
    </w:p>
    <w:p>
      <w:pPr>
        <w:pStyle w:val="59"/>
        <w:ind w:firstLine="420"/>
      </w:pPr>
      <w:r>
        <w:t>DTF</w:t>
      </w:r>
      <w:r>
        <w:rPr>
          <w:rFonts w:hint="eastAsia"/>
        </w:rPr>
        <w:t>—前沿距离值</w:t>
      </w:r>
    </w:p>
    <w:p>
      <w:pPr>
        <w:pStyle w:val="59"/>
        <w:ind w:firstLine="420"/>
      </w:pPr>
      <w:r>
        <w:rPr>
          <w:rFonts w:hint="eastAsia"/>
        </w:rPr>
        <w:t>w—该指标的最优值</w:t>
      </w:r>
    </w:p>
    <w:p>
      <w:pPr>
        <w:pStyle w:val="59"/>
        <w:ind w:firstLine="420"/>
      </w:pPr>
      <w:r>
        <w:rPr>
          <w:rFonts w:hint="eastAsia"/>
        </w:rPr>
        <w:t>d—该指标实际值</w:t>
      </w:r>
    </w:p>
    <w:p>
      <w:pPr>
        <w:pStyle w:val="59"/>
        <w:ind w:firstLine="420"/>
      </w:pPr>
      <w:r>
        <w:rPr>
          <w:rFonts w:hint="eastAsia"/>
        </w:rPr>
        <w:t>f—该指标的最差值</w:t>
      </w:r>
    </w:p>
    <w:p>
      <w:pPr>
        <w:pStyle w:val="182"/>
      </w:pPr>
      <w:r>
        <w:rPr>
          <w:rFonts w:hint="eastAsia"/>
        </w:rPr>
        <w:t>多个行政区域开展评价时，应进行横向比较，统计周期内表现最优的某一行政区域的评定方式评价内容值为最优值，表现最差的某一行政区域的评定方式评价内容值为最差值。</w:t>
      </w:r>
    </w:p>
    <w:p>
      <w:pPr>
        <w:pStyle w:val="59"/>
        <w:ind w:firstLine="420"/>
        <w:rPr>
          <w:szCs w:val="21"/>
        </w:rPr>
      </w:pPr>
      <w:r>
        <w:rPr>
          <w:rFonts w:hint="eastAsia"/>
        </w:rPr>
        <w:t>应按照式（2）正向前沿距离法，计算出评定方式为正向前沿距离法的评定方式评价内容得分。</w:t>
      </w:r>
    </w:p>
    <w:p>
      <w:pPr>
        <w:pStyle w:val="59"/>
        <w:ind w:firstLine="420"/>
      </w:pPr>
      <w:r>
        <w:rPr>
          <w:rFonts w:hint="eastAsia"/>
        </w:rPr>
        <w:t>应按照式（3）反向前沿距离法，计算出评定方式为反向前沿距离法的评定方式评价内容得分。</w:t>
      </w:r>
    </w:p>
    <w:p>
      <w:pPr>
        <w:pStyle w:val="116"/>
        <w:rPr>
          <w:rFonts w:hint="eastAsia"/>
        </w:rPr>
      </w:pPr>
      <w:r>
        <w:tab/>
      </w:r>
      <m:oMath>
        <m:r>
          <m:rPr>
            <m:sty m:val="p"/>
          </m:rPr>
          <w:rPr>
            <w:rFonts w:ascii="Cambria Math" w:hAnsi="Cambria Math"/>
          </w:rPr>
          <m:t>R</m:t>
        </m:r>
        <m:r>
          <m:rPr>
            <m:sty m:val="p"/>
          </m:rPr>
          <w:rPr>
            <w:rFonts w:hint="eastAsia" w:ascii="Cambria Math" w:hAnsi="Cambria Math"/>
          </w:rPr>
          <m:t>ij</m:t>
        </m:r>
        <m:r>
          <m:rPr>
            <m:sty m:val="p"/>
          </m:rPr>
          <w:rPr>
            <w:rFonts w:ascii="Cambria Math" w:hAnsi="Cambria Math"/>
          </w:rPr>
          <m:t>=</m:t>
        </m:r>
        <m:f>
          <m:fPr>
            <m:ctrlPr>
              <w:rPr>
                <w:rFonts w:ascii="Cambria Math" w:hAnsi="Cambria Math"/>
              </w:rPr>
            </m:ctrlPr>
          </m:fPr>
          <m:num>
            <m:r>
              <m:rPr/>
              <w:rPr>
                <w:rFonts w:ascii="Cambria Math" w:hAnsi="Cambria Math"/>
              </w:rPr>
              <m:t>R−</m:t>
            </m:r>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min</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R</m:t>
                </m:r>
                <m:ctrlPr>
                  <w:rPr>
                    <w:rFonts w:ascii="Cambria Math" w:hAnsi="Cambria Math"/>
                    <w:i/>
                  </w:rPr>
                </m:ctrlPr>
              </m:e>
              <m:sub>
                <m:r>
                  <m:rPr/>
                  <w:rPr>
                    <w:rFonts w:hint="eastAsia" w:ascii="Cambria Math" w:hAnsi="Cambria Math"/>
                  </w:rPr>
                  <m:t>max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min</m:t>
                </m:r>
                <m:ctrlPr>
                  <w:rPr>
                    <w:rFonts w:ascii="Cambria Math" w:hAnsi="Cambria Math"/>
                    <w:i/>
                  </w:rPr>
                </m:ctrlPr>
              </m:sub>
            </m:sSub>
            <m:ctrlPr>
              <w:rPr>
                <w:rFonts w:ascii="Cambria Math" w:hAnsi="Cambria Math"/>
              </w:rPr>
            </m:ctrlPr>
          </m:den>
        </m:f>
      </m:oMath>
      <w:r>
        <w:rPr>
          <w:rFonts w:ascii="微软雅黑" w:hAnsi="微软雅黑" w:eastAsia="微软雅黑"/>
        </w:rPr>
        <w:tab/>
      </w:r>
      <w:r>
        <w:t>(</w:t>
      </w:r>
      <w:r>
        <w:fldChar w:fldCharType="begin"/>
      </w:r>
      <w:r>
        <w:instrText xml:space="preserve"> AUTONUM </w:instrText>
      </w:r>
      <w:r>
        <w:fldChar w:fldCharType="end"/>
      </w:r>
      <w:r>
        <w:t>)</w:t>
      </w:r>
    </w:p>
    <w:p>
      <w:pPr>
        <w:pStyle w:val="116"/>
        <w:rPr>
          <w:rFonts w:hint="eastAsia"/>
        </w:rPr>
      </w:pPr>
      <w:r>
        <w:tab/>
      </w:r>
      <m:oMath>
        <m:r>
          <m:rPr>
            <m:sty m:val="p"/>
          </m:rPr>
          <w:rPr>
            <w:rFonts w:ascii="Cambria Math" w:hAnsi="Cambria Math"/>
          </w:rPr>
          <m:t>R</m:t>
        </m:r>
        <m:r>
          <m:rPr>
            <m:sty m:val="p"/>
          </m:rPr>
          <w:rPr>
            <w:rFonts w:hint="eastAsia" w:ascii="Cambria Math" w:hAnsi="Cambria Math"/>
          </w:rPr>
          <m:t>ij</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R</m:t>
                </m:r>
                <m:ctrlPr>
                  <w:rPr>
                    <w:rFonts w:ascii="Cambria Math" w:hAnsi="Cambria Math"/>
                    <w:i/>
                  </w:rPr>
                </m:ctrlPr>
              </m:e>
              <m:sub>
                <m:r>
                  <m:rPr/>
                  <w:rPr>
                    <w:rFonts w:hint="eastAsia" w:ascii="Cambria Math" w:hAnsi="Cambria Math"/>
                  </w:rPr>
                  <m:t>max</m:t>
                </m:r>
                <m:ctrlPr>
                  <w:rPr>
                    <w:rFonts w:ascii="Cambria Math" w:hAnsi="Cambria Math"/>
                    <w:i/>
                  </w:rPr>
                </m:ctrlPr>
              </m:sub>
            </m:sSub>
            <m:r>
              <m:rPr/>
              <w:rPr>
                <w:rFonts w:ascii="Cambria Math" w:hAnsi="Cambria Math"/>
              </w:rPr>
              <m:t>−R</m:t>
            </m:r>
            <m:ctrlPr>
              <w:rPr>
                <w:rFonts w:ascii="Cambria Math" w:hAnsi="Cambria Math"/>
              </w:rPr>
            </m:ctrlPr>
          </m:num>
          <m:den>
            <m:sSub>
              <m:sSubPr>
                <m:ctrlPr>
                  <w:rPr>
                    <w:rFonts w:ascii="Cambria Math" w:hAnsi="Cambria Math"/>
                    <w:i/>
                  </w:rPr>
                </m:ctrlPr>
              </m:sSubPr>
              <m:e>
                <m:r>
                  <m:rPr/>
                  <w:rPr>
                    <w:rFonts w:ascii="Cambria Math" w:hAnsi="Cambria Math"/>
                  </w:rPr>
                  <m:t>R</m:t>
                </m:r>
                <m:ctrlPr>
                  <w:rPr>
                    <w:rFonts w:ascii="Cambria Math" w:hAnsi="Cambria Math"/>
                    <w:i/>
                  </w:rPr>
                </m:ctrlPr>
              </m:e>
              <m:sub>
                <m:r>
                  <m:rPr/>
                  <w:rPr>
                    <w:rFonts w:hint="eastAsia" w:ascii="Cambria Math" w:hAnsi="Cambria Math"/>
                  </w:rPr>
                  <m:t>max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min</m:t>
                </m:r>
                <m:ctrlPr>
                  <w:rPr>
                    <w:rFonts w:ascii="Cambria Math" w:hAnsi="Cambria Math"/>
                    <w:i/>
                  </w:rPr>
                </m:ctrlPr>
              </m:sub>
            </m:sSub>
            <m:ctrlPr>
              <w:rPr>
                <w:rFonts w:ascii="Cambria Math" w:hAnsi="Cambria Math"/>
              </w:rPr>
            </m:ctrlPr>
          </m:den>
        </m:f>
      </m:oMath>
      <w:r>
        <w:rPr>
          <w:rFonts w:ascii="微软雅黑" w:hAnsi="微软雅黑" w:eastAsia="微软雅黑"/>
        </w:rPr>
        <w:tab/>
      </w:r>
      <w:r>
        <w:t>(</w:t>
      </w:r>
      <w:r>
        <w:fldChar w:fldCharType="begin"/>
      </w:r>
      <w:r>
        <w:instrText xml:space="preserve"> AUTONUM </w:instrText>
      </w:r>
      <w:r>
        <w:fldChar w:fldCharType="end"/>
      </w:r>
      <w:r>
        <w:t>)</w:t>
      </w:r>
    </w:p>
    <w:p>
      <w:pPr>
        <w:pStyle w:val="59"/>
        <w:ind w:firstLine="420"/>
      </w:pPr>
      <w:r>
        <w:rPr>
          <w:rFonts w:hint="eastAsia"/>
        </w:rPr>
        <w:t>式中：</w:t>
      </w:r>
    </w:p>
    <w:p>
      <w:pPr>
        <w:pStyle w:val="59"/>
        <w:ind w:firstLine="420"/>
      </w:pPr>
      <w:r>
        <w:rPr>
          <w:rFonts w:hint="eastAsia"/>
        </w:rPr>
        <w:t>Rij—前沿距离得分</w:t>
      </w:r>
    </w:p>
    <w:p>
      <w:pPr>
        <w:pStyle w:val="59"/>
        <w:ind w:firstLine="420"/>
      </w:pPr>
      <w:r>
        <w:rPr>
          <w:rFonts w:hint="eastAsia"/>
        </w:rPr>
        <w:t>R—该指标实际值</w:t>
      </w:r>
    </w:p>
    <w:p>
      <w:pPr>
        <w:pStyle w:val="59"/>
        <w:ind w:firstLine="420"/>
      </w:pPr>
      <w:r>
        <w:rPr>
          <w:rFonts w:hint="eastAsia"/>
        </w:rPr>
        <w:t>Rmax—该指标评估数据最大值</w:t>
      </w:r>
    </w:p>
    <w:p>
      <w:pPr>
        <w:pStyle w:val="59"/>
        <w:ind w:firstLine="420"/>
      </w:pPr>
      <w:r>
        <w:rPr>
          <w:rFonts w:hint="eastAsia"/>
        </w:rPr>
        <w:t>Rmin—该指标评估数据最小值</w:t>
      </w:r>
    </w:p>
    <w:p>
      <w:pPr>
        <w:pStyle w:val="108"/>
        <w:spacing w:before="156" w:after="156"/>
      </w:pPr>
      <w:bookmarkStart w:id="153" w:name="_Toc196128151"/>
      <w:bookmarkStart w:id="154" w:name="_Toc196128654"/>
      <w:bookmarkStart w:id="155" w:name="_Toc15722"/>
      <w:r>
        <w:rPr>
          <w:rFonts w:hint="eastAsia"/>
        </w:rPr>
        <w:t>二级指标得分计算</w:t>
      </w:r>
      <w:bookmarkEnd w:id="153"/>
      <w:bookmarkEnd w:id="154"/>
      <w:bookmarkEnd w:id="155"/>
    </w:p>
    <w:p>
      <w:pPr>
        <w:pStyle w:val="59"/>
        <w:ind w:firstLine="420"/>
      </w:pPr>
      <w:r>
        <w:rPr>
          <w:rFonts w:hint="eastAsia"/>
        </w:rPr>
        <w:t>应按照式（4），用二级指标下各评定方式</w:t>
      </w:r>
      <w:r>
        <w:rPr>
          <w:rFonts w:hint="eastAsia"/>
          <w:lang w:val="en-US" w:eastAsia="zh-CN"/>
        </w:rPr>
        <w:t>实际</w:t>
      </w:r>
      <w:r>
        <w:rPr>
          <w:rFonts w:hint="eastAsia"/>
        </w:rPr>
        <w:t>得分加总求和后</w:t>
      </w:r>
      <w:r>
        <w:rPr>
          <w:rFonts w:hint="eastAsia"/>
          <w:lang w:val="en-US" w:eastAsia="zh-CN"/>
        </w:rPr>
        <w:t>除以各</w:t>
      </w:r>
      <w:r>
        <w:rPr>
          <w:rFonts w:hint="eastAsia"/>
        </w:rPr>
        <w:t>评定方式满分理论合计值计算出二级指标得分。</w:t>
      </w:r>
    </w:p>
    <w:p>
      <w:pPr>
        <w:pStyle w:val="116"/>
        <w:rPr>
          <w:rFonts w:hint="eastAsia"/>
        </w:rPr>
      </w:pPr>
      <w:r>
        <w:tab/>
      </w:r>
      <m:oMath>
        <m:r>
          <m:rPr>
            <m:sty m:val="p"/>
          </m:rPr>
          <w:rPr>
            <w:rFonts w:ascii="Cambria Math"/>
          </w:rPr>
          <m:t>V</m:t>
        </m:r>
        <m:r>
          <m:rPr>
            <m:sty m:val="p"/>
          </m:rPr>
          <w:rPr>
            <w:rFonts w:ascii="Cambria Math" w:hAnsi="Cambria Math"/>
          </w:rPr>
          <m:t>=</m:t>
        </m:r>
        <m:f>
          <m:fPr>
            <m:ctrlPr>
              <w:rPr>
                <w:rFonts w:ascii="Cambria Math" w:hAnsi="Cambria Math"/>
                <w:b w:val="0"/>
                <w:i w:val="0"/>
              </w:rPr>
            </m:ctrlPr>
          </m:fPr>
          <m:num>
            <m:nary>
              <m:naryPr>
                <m:chr m:val="∑"/>
                <m:limLoc m:val="subSup"/>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n</m:t>
                </m:r>
                <m:ctrlPr>
                  <w:rPr>
                    <w:rFonts w:ascii="Cambria Math" w:hAnsi="Cambria Math"/>
                  </w:rPr>
                </m:ctrlPr>
              </m:sup>
              <m:e>
                <m:r>
                  <m:rPr/>
                  <w:rPr>
                    <w:rFonts w:ascii="Cambria Math" w:hAnsi="Cambria Math"/>
                  </w:rPr>
                  <m:t>F</m:t>
                </m:r>
                <m:r>
                  <m:rPr/>
                  <w:rPr>
                    <w:rFonts w:hint="eastAsia" w:ascii="Cambria Math" w:hAnsi="Cambria Math"/>
                  </w:rPr>
                  <m:t>i</m:t>
                </m:r>
                <m:ctrlPr>
                  <w:rPr>
                    <w:rFonts w:ascii="Cambria Math" w:hAnsi="Cambria Math"/>
                  </w:rPr>
                </m:ctrlPr>
              </m:e>
            </m:nary>
            <m:ctrlPr>
              <w:rPr>
                <w:rFonts w:ascii="Cambria Math" w:hAnsi="Cambria Math"/>
                <w:b w:val="0"/>
                <w:i w:val="0"/>
              </w:rPr>
            </m:ctrlPr>
          </m:num>
          <m:den>
            <m:nary>
              <m:naryPr>
                <m:chr m:val="∑"/>
                <m:limLoc m:val="subSup"/>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n</m:t>
                </m:r>
                <m:ctrlPr>
                  <w:rPr>
                    <w:rFonts w:ascii="Cambria Math" w:hAnsi="Cambria Math"/>
                  </w:rPr>
                </m:ctrlPr>
              </m:sup>
              <m:e>
                <m:r>
                  <m:rPr/>
                  <w:rPr>
                    <w:rFonts w:ascii="Cambria Math" w:hAnsi="Cambria Math"/>
                  </w:rPr>
                  <m:t>F</m:t>
                </m:r>
                <m:r>
                  <m:rPr/>
                  <w:rPr>
                    <w:rFonts w:hint="default" w:ascii="Cambria Math" w:hAnsi="Cambria Math"/>
                    <w:lang w:val="en-US" w:eastAsia="zh-CN"/>
                  </w:rPr>
                  <m:t>max</m:t>
                </m:r>
                <m:ctrlPr>
                  <w:rPr>
                    <w:rFonts w:ascii="Cambria Math" w:hAnsi="Cambria Math"/>
                  </w:rPr>
                </m:ctrlPr>
              </m:e>
            </m:nary>
            <m:ctrlPr>
              <w:rPr>
                <w:rFonts w:ascii="Cambria Math" w:hAnsi="Cambria Math"/>
                <w:b w:val="0"/>
                <w:i w:val="0"/>
              </w:rPr>
            </m:ctrlPr>
          </m:den>
        </m:f>
      </m:oMath>
      <w:r>
        <w:rPr>
          <w:rFonts w:ascii="微软雅黑" w:hAnsi="微软雅黑" w:eastAsia="微软雅黑"/>
        </w:rPr>
        <w:tab/>
      </w:r>
      <w:r>
        <w:t>(</w:t>
      </w:r>
      <w:r>
        <w:rPr>
          <w:rFonts w:hint="eastAsia"/>
        </w:rPr>
        <w:t>4</w:t>
      </w:r>
      <w:r>
        <w:t>)</w:t>
      </w:r>
    </w:p>
    <w:p>
      <w:pPr>
        <w:pStyle w:val="59"/>
        <w:ind w:firstLine="420"/>
      </w:pPr>
      <w:r>
        <w:rPr>
          <w:rFonts w:hint="eastAsia"/>
        </w:rPr>
        <w:t>式中：</w:t>
      </w:r>
    </w:p>
    <w:p>
      <w:pPr>
        <w:pStyle w:val="59"/>
        <w:ind w:firstLine="420"/>
      </w:pPr>
      <w:r>
        <w:rPr>
          <w:rFonts w:hint="eastAsia"/>
        </w:rPr>
        <w:t>V—二级指标得分</w:t>
      </w:r>
    </w:p>
    <w:p>
      <w:pPr>
        <w:pStyle w:val="59"/>
        <w:ind w:firstLine="420"/>
        <w:rPr>
          <w:rFonts w:hint="eastAsia"/>
        </w:rPr>
      </w:pPr>
      <w:r>
        <w:rPr>
          <w:rFonts w:hint="eastAsia"/>
        </w:rPr>
        <w:t>F</w:t>
      </w:r>
      <w:r>
        <w:rPr>
          <w:rFonts w:hint="eastAsia"/>
          <w:lang w:val="en-US" w:eastAsia="zh-CN"/>
        </w:rPr>
        <w:t>i</w:t>
      </w:r>
      <w:r>
        <w:rPr>
          <w:rFonts w:hint="eastAsia"/>
        </w:rPr>
        <w:t>—评定方式</w:t>
      </w:r>
      <w:r>
        <w:rPr>
          <w:rFonts w:hint="eastAsia"/>
          <w:lang w:val="en-US" w:eastAsia="zh-CN"/>
        </w:rPr>
        <w:t>实际</w:t>
      </w:r>
      <w:r>
        <w:rPr>
          <w:rFonts w:hint="eastAsia"/>
        </w:rPr>
        <w:t>得分</w:t>
      </w:r>
    </w:p>
    <w:p>
      <w:pPr>
        <w:pStyle w:val="59"/>
        <w:ind w:firstLine="420"/>
        <w:rPr>
          <w:rFonts w:hint="default"/>
          <w:lang w:val="en-US"/>
        </w:rPr>
      </w:pPr>
      <w:r>
        <w:rPr>
          <w:rFonts w:hint="eastAsia"/>
        </w:rPr>
        <w:t>F</w:t>
      </w:r>
      <w:r>
        <w:rPr>
          <w:rFonts w:hint="eastAsia"/>
          <w:lang w:val="en-US" w:eastAsia="zh-CN"/>
        </w:rPr>
        <w:t>max</w:t>
      </w:r>
      <w:r>
        <w:rPr>
          <w:rFonts w:hint="eastAsia"/>
        </w:rPr>
        <w:t>—评定方式</w:t>
      </w:r>
      <w:r>
        <w:rPr>
          <w:rFonts w:hint="eastAsia"/>
          <w:lang w:val="en-US" w:eastAsia="zh-CN"/>
        </w:rPr>
        <w:t>满分理论值</w:t>
      </w:r>
    </w:p>
    <w:p>
      <w:pPr>
        <w:pStyle w:val="108"/>
        <w:spacing w:before="156" w:after="156"/>
      </w:pPr>
      <w:bookmarkStart w:id="156" w:name="_Toc4377"/>
      <w:bookmarkStart w:id="157" w:name="_Toc196128655"/>
      <w:bookmarkStart w:id="158" w:name="_Toc196128152"/>
      <w:r>
        <w:rPr>
          <w:rFonts w:hint="eastAsia"/>
        </w:rPr>
        <w:t>一级指标得分计算</w:t>
      </w:r>
      <w:bookmarkEnd w:id="156"/>
      <w:bookmarkEnd w:id="157"/>
      <w:bookmarkEnd w:id="158"/>
    </w:p>
    <w:p>
      <w:pPr>
        <w:pStyle w:val="59"/>
        <w:ind w:firstLine="420"/>
      </w:pPr>
      <w:r>
        <w:rPr>
          <w:rFonts w:hint="eastAsia"/>
        </w:rPr>
        <w:t>应按照式（5），用各二级指标得分乘以二级指标权重再加总求和计算出一级指标得分。</w:t>
      </w:r>
    </w:p>
    <w:p>
      <w:pPr>
        <w:pStyle w:val="116"/>
        <w:rPr>
          <w:rFonts w:hint="eastAsia"/>
        </w:rPr>
      </w:pPr>
      <w:r>
        <w:tab/>
      </w:r>
      <m:oMath>
        <m:r>
          <m:rPr>
            <m:sty m:val="p"/>
          </m:rPr>
          <w:rPr>
            <w:rFonts w:ascii="Cambria Math" w:hAnsi="Cambria Math"/>
          </w:rPr>
          <m:t>S=</m:t>
        </m:r>
        <m:nary>
          <m:naryPr>
            <m:chr m:val="∑"/>
            <m:limLoc m:val="subSup"/>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n</m:t>
            </m:r>
            <m:ctrlPr>
              <w:rPr>
                <w:rFonts w:ascii="Cambria Math" w:hAnsi="Cambria Math"/>
              </w:rPr>
            </m:ctrlPr>
          </m:sup>
          <m:e>
            <m:r>
              <m:rPr/>
              <w:rPr>
                <w:rFonts w:ascii="Cambria Math" w:hAnsi="Cambria Math"/>
              </w:rPr>
              <m:t>V</m:t>
            </m:r>
            <m:r>
              <m:rPr/>
              <w:rPr>
                <w:rFonts w:hint="eastAsia" w:ascii="Cambria Math" w:hAnsi="Cambria Math"/>
              </w:rPr>
              <m:t>i</m:t>
            </m:r>
            <m:ctrlPr>
              <w:rPr>
                <w:rFonts w:ascii="Cambria Math" w:hAnsi="Cambria Math"/>
              </w:rPr>
            </m:ctrlPr>
          </m:e>
        </m:nary>
        <m:r>
          <m:rPr/>
          <w:rPr>
            <w:rFonts w:ascii="Cambria Math" w:hAnsi="Cambria Math"/>
          </w:rPr>
          <m:t>×T</m:t>
        </m:r>
        <m:r>
          <m:rPr/>
          <w:rPr>
            <w:rFonts w:hint="eastAsia" w:ascii="Cambria Math" w:hAnsi="Cambria Math"/>
          </w:rPr>
          <m:t>i</m:t>
        </m:r>
      </m:oMath>
      <w:r>
        <w:rPr>
          <w:rFonts w:ascii="微软雅黑" w:hAnsi="微软雅黑" w:eastAsia="微软雅黑"/>
        </w:rPr>
        <w:tab/>
      </w:r>
      <w:r>
        <w:t>(</w:t>
      </w:r>
      <w:r>
        <w:rPr>
          <w:rFonts w:hint="eastAsia"/>
        </w:rPr>
        <w:t>5</w:t>
      </w:r>
      <w:r>
        <w:t>)</w:t>
      </w:r>
    </w:p>
    <w:p>
      <w:pPr>
        <w:pStyle w:val="59"/>
        <w:ind w:firstLine="420"/>
      </w:pPr>
      <w:r>
        <w:rPr>
          <w:rFonts w:hint="eastAsia"/>
        </w:rPr>
        <w:t>式中：</w:t>
      </w:r>
    </w:p>
    <w:p>
      <w:pPr>
        <w:pStyle w:val="59"/>
        <w:ind w:firstLine="420"/>
      </w:pPr>
      <w:r>
        <w:rPr>
          <w:rFonts w:hint="eastAsia"/>
        </w:rPr>
        <w:t>S—一级指标得分</w:t>
      </w:r>
    </w:p>
    <w:p>
      <w:pPr>
        <w:pStyle w:val="59"/>
        <w:ind w:firstLine="420"/>
      </w:pPr>
      <w:r>
        <w:rPr>
          <w:rFonts w:hint="eastAsia"/>
        </w:rPr>
        <w:t>T—二级指标权重</w:t>
      </w:r>
    </w:p>
    <w:p>
      <w:pPr>
        <w:pStyle w:val="59"/>
        <w:ind w:firstLine="420"/>
      </w:pPr>
      <w:r>
        <w:rPr>
          <w:rFonts w:hint="eastAsia"/>
        </w:rPr>
        <w:t>V—二级指标得分</w:t>
      </w:r>
    </w:p>
    <w:p>
      <w:pPr>
        <w:pStyle w:val="108"/>
        <w:spacing w:before="156" w:after="156"/>
      </w:pPr>
      <w:bookmarkStart w:id="159" w:name="_Toc13768"/>
      <w:bookmarkStart w:id="160" w:name="_Toc196128153"/>
      <w:bookmarkStart w:id="161" w:name="_Toc196128656"/>
      <w:r>
        <w:rPr>
          <w:rFonts w:hint="eastAsia"/>
        </w:rPr>
        <w:t>评价对象总分计算</w:t>
      </w:r>
      <w:bookmarkEnd w:id="159"/>
      <w:bookmarkEnd w:id="160"/>
      <w:bookmarkEnd w:id="161"/>
    </w:p>
    <w:p>
      <w:pPr>
        <w:pStyle w:val="59"/>
        <w:ind w:firstLine="420"/>
      </w:pPr>
      <w:r>
        <w:rPr>
          <w:rFonts w:hint="eastAsia"/>
        </w:rPr>
        <w:t>应按照式（6），用各一级指标得分乘以一级指标权重再加总求和计算评价对象总得分。</w:t>
      </w:r>
    </w:p>
    <w:p>
      <w:pPr>
        <w:pStyle w:val="116"/>
        <w:rPr>
          <w:rFonts w:hint="eastAsia"/>
        </w:rPr>
      </w:pPr>
      <w:r>
        <w:tab/>
      </w:r>
      <m:oMath>
        <m:r>
          <m:rPr>
            <m:sty m:val="p"/>
          </m:rPr>
          <w:rPr>
            <w:rFonts w:ascii="Cambria Math" w:hAnsi="Cambria Math"/>
          </w:rPr>
          <m:t>P=</m:t>
        </m:r>
        <m:nary>
          <m:naryPr>
            <m:chr m:val="∑"/>
            <m:limLoc m:val="subSup"/>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n</m:t>
            </m:r>
            <m:ctrlPr>
              <w:rPr>
                <w:rFonts w:ascii="Cambria Math" w:hAnsi="Cambria Math"/>
              </w:rPr>
            </m:ctrlPr>
          </m:sup>
          <m:e>
            <m:r>
              <m:rPr/>
              <w:rPr>
                <w:rFonts w:ascii="Cambria Math" w:hAnsi="Cambria Math"/>
              </w:rPr>
              <m:t>S</m:t>
            </m:r>
            <m:r>
              <m:rPr/>
              <w:rPr>
                <w:rFonts w:hint="eastAsia" w:ascii="Cambria Math" w:hAnsi="Cambria Math"/>
              </w:rPr>
              <m:t>i</m:t>
            </m:r>
            <m:ctrlPr>
              <w:rPr>
                <w:rFonts w:ascii="Cambria Math" w:hAnsi="Cambria Math"/>
              </w:rPr>
            </m:ctrlPr>
          </m:e>
        </m:nary>
        <m:r>
          <m:rPr/>
          <w:rPr>
            <w:rFonts w:ascii="Cambria Math" w:hAnsi="Cambria Math"/>
          </w:rPr>
          <m:t>×Q</m:t>
        </m:r>
        <m:r>
          <m:rPr/>
          <w:rPr>
            <w:rFonts w:hint="eastAsia" w:ascii="Cambria Math" w:hAnsi="Cambria Math"/>
          </w:rPr>
          <m:t>i</m:t>
        </m:r>
      </m:oMath>
      <w:r>
        <w:rPr>
          <w:rFonts w:ascii="微软雅黑" w:hAnsi="微软雅黑" w:eastAsia="微软雅黑"/>
        </w:rPr>
        <w:tab/>
      </w:r>
      <w:r>
        <w:t>(</w:t>
      </w:r>
      <w:r>
        <w:rPr>
          <w:rFonts w:hint="eastAsia"/>
        </w:rPr>
        <w:t>6</w:t>
      </w:r>
      <w:r>
        <w:t>)</w:t>
      </w:r>
    </w:p>
    <w:p>
      <w:pPr>
        <w:pStyle w:val="59"/>
        <w:ind w:firstLine="420"/>
      </w:pPr>
      <w:r>
        <w:rPr>
          <w:rFonts w:hint="eastAsia"/>
        </w:rPr>
        <w:t>式中：</w:t>
      </w:r>
    </w:p>
    <w:p>
      <w:pPr>
        <w:pStyle w:val="59"/>
        <w:ind w:firstLine="420"/>
      </w:pPr>
      <w:r>
        <w:rPr>
          <w:rFonts w:hint="eastAsia"/>
        </w:rPr>
        <w:t>P—评价对象总得分</w:t>
      </w:r>
    </w:p>
    <w:p>
      <w:pPr>
        <w:pStyle w:val="59"/>
        <w:ind w:firstLine="420"/>
      </w:pPr>
      <w:r>
        <w:rPr>
          <w:rFonts w:hint="eastAsia"/>
        </w:rPr>
        <w:t>Q—一级指标权重</w:t>
      </w:r>
    </w:p>
    <w:p>
      <w:pPr>
        <w:pStyle w:val="59"/>
        <w:ind w:firstLine="420"/>
      </w:pPr>
      <w:r>
        <w:rPr>
          <w:rFonts w:hint="eastAsia"/>
        </w:rPr>
        <w:t>S—一级指标得分</w:t>
      </w:r>
    </w:p>
    <w:p>
      <w:pPr>
        <w:pStyle w:val="107"/>
        <w:spacing w:before="312" w:after="312"/>
      </w:pPr>
      <w:bookmarkStart w:id="162" w:name="_Toc196128154"/>
      <w:bookmarkStart w:id="163" w:name="_Toc196128657"/>
      <w:r>
        <w:rPr>
          <w:rFonts w:hint="eastAsia"/>
        </w:rPr>
        <w:t>评价过程</w:t>
      </w:r>
      <w:bookmarkEnd w:id="162"/>
      <w:bookmarkEnd w:id="163"/>
    </w:p>
    <w:p>
      <w:pPr>
        <w:pStyle w:val="108"/>
        <w:spacing w:before="156" w:after="156"/>
      </w:pPr>
      <w:bookmarkStart w:id="164" w:name="_Toc196128658"/>
      <w:bookmarkStart w:id="165" w:name="_Toc196128155"/>
      <w:r>
        <w:rPr>
          <w:rFonts w:hint="eastAsia"/>
        </w:rPr>
        <w:t>评价程序</w:t>
      </w:r>
      <w:bookmarkEnd w:id="164"/>
      <w:bookmarkEnd w:id="165"/>
    </w:p>
    <w:p>
      <w:pPr>
        <w:pStyle w:val="59"/>
        <w:ind w:firstLine="420"/>
      </w:pPr>
      <w:r>
        <w:rPr>
          <w:rFonts w:hint="eastAsia"/>
        </w:rPr>
        <w:t>评价程序应包括项目启动、实施准备、数据采集、数据核验与处理、报告编制、报告发布与建档。营商环境评价程序见图1。</w:t>
      </w:r>
    </w:p>
    <w:p>
      <w:pPr>
        <w:pStyle w:val="59"/>
        <w:ind w:firstLine="0" w:firstLineChars="0"/>
        <w:jc w:val="center"/>
      </w:pPr>
      <w:r>
        <w:drawing>
          <wp:inline distT="0" distB="0" distL="0" distR="0">
            <wp:extent cx="1673860" cy="2432050"/>
            <wp:effectExtent l="0" t="0" r="2540" b="6350"/>
            <wp:docPr id="78"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7"/>
                    <pic:cNvPicPr>
                      <a:picLocks noChangeAspect="1"/>
                    </pic:cNvPicPr>
                  </pic:nvPicPr>
                  <pic:blipFill>
                    <a:blip r:embed="rId28"/>
                    <a:stretch>
                      <a:fillRect/>
                    </a:stretch>
                  </pic:blipFill>
                  <pic:spPr>
                    <a:xfrm>
                      <a:off x="0" y="0"/>
                      <a:ext cx="1739805" cy="2527861"/>
                    </a:xfrm>
                    <a:prstGeom prst="rect">
                      <a:avLst/>
                    </a:prstGeom>
                  </pic:spPr>
                </pic:pic>
              </a:graphicData>
            </a:graphic>
          </wp:inline>
        </w:drawing>
      </w:r>
    </w:p>
    <w:p>
      <w:pPr>
        <w:pStyle w:val="117"/>
        <w:spacing w:before="156" w:after="156"/>
      </w:pPr>
      <w:r>
        <w:rPr>
          <w:rFonts w:hint="eastAsia"/>
        </w:rPr>
        <w:t>营商环境评价程序</w:t>
      </w:r>
    </w:p>
    <w:p>
      <w:pPr>
        <w:pStyle w:val="108"/>
        <w:spacing w:before="156" w:after="156"/>
      </w:pPr>
      <w:bookmarkStart w:id="166" w:name="_Toc172455228"/>
      <w:bookmarkStart w:id="167" w:name="_Toc172454978"/>
      <w:bookmarkStart w:id="168" w:name="_Toc32293"/>
      <w:bookmarkStart w:id="169" w:name="_Toc196128156"/>
      <w:bookmarkStart w:id="170" w:name="_Toc196128659"/>
      <w:r>
        <w:rPr>
          <w:rFonts w:hint="eastAsia"/>
        </w:rPr>
        <w:t>项目启动</w:t>
      </w:r>
      <w:bookmarkEnd w:id="166"/>
      <w:bookmarkEnd w:id="167"/>
      <w:bookmarkEnd w:id="168"/>
      <w:bookmarkEnd w:id="169"/>
      <w:bookmarkEnd w:id="170"/>
    </w:p>
    <w:p>
      <w:pPr>
        <w:pStyle w:val="168"/>
      </w:pPr>
      <w:r>
        <w:rPr>
          <w:rFonts w:hint="eastAsia"/>
        </w:rPr>
        <w:t>委托方</w:t>
      </w:r>
      <w:r>
        <w:t>根据工作需要，提出开展自治区营商环境评价意见，明确评价内容，按程序报</w:t>
      </w:r>
      <w:r>
        <w:rPr>
          <w:rFonts w:hint="eastAsia"/>
        </w:rPr>
        <w:t>相关部门</w:t>
      </w:r>
      <w:r>
        <w:t>批准后实施。</w:t>
      </w:r>
    </w:p>
    <w:p>
      <w:pPr>
        <w:pStyle w:val="168"/>
      </w:pPr>
      <w:r>
        <w:rPr>
          <w:rFonts w:hint="eastAsia"/>
        </w:rPr>
        <w:t>委托方应在明确</w:t>
      </w:r>
      <w:r>
        <w:t>营商环境评价</w:t>
      </w:r>
      <w:r>
        <w:rPr>
          <w:rFonts w:hint="eastAsia"/>
        </w:rPr>
        <w:t>内容、时限、经费以及其他相关要求后，按照政府采购有关规定确定营商环境评价主体。</w:t>
      </w:r>
    </w:p>
    <w:p>
      <w:pPr>
        <w:pStyle w:val="108"/>
        <w:spacing w:before="156" w:after="156"/>
      </w:pPr>
      <w:bookmarkStart w:id="171" w:name="_Toc170815192"/>
      <w:bookmarkStart w:id="172" w:name="_Toc171183419"/>
      <w:bookmarkStart w:id="173" w:name="_Toc172455229"/>
      <w:bookmarkStart w:id="174" w:name="_Toc170841487"/>
      <w:bookmarkStart w:id="175" w:name="_Toc171183788"/>
      <w:bookmarkStart w:id="176" w:name="_Toc172454979"/>
      <w:bookmarkStart w:id="177" w:name="_Toc196128157"/>
      <w:bookmarkStart w:id="178" w:name="_Toc196128660"/>
      <w:bookmarkStart w:id="179" w:name="_Toc170823229"/>
      <w:bookmarkStart w:id="180" w:name="_Toc22531"/>
      <w:r>
        <w:rPr>
          <w:rFonts w:hint="eastAsia"/>
        </w:rPr>
        <w:t>实施准备</w:t>
      </w:r>
      <w:bookmarkEnd w:id="171"/>
      <w:bookmarkEnd w:id="172"/>
      <w:bookmarkEnd w:id="173"/>
      <w:bookmarkEnd w:id="174"/>
      <w:bookmarkEnd w:id="175"/>
      <w:bookmarkEnd w:id="176"/>
      <w:bookmarkEnd w:id="177"/>
      <w:bookmarkEnd w:id="178"/>
      <w:bookmarkEnd w:id="179"/>
      <w:bookmarkEnd w:id="180"/>
    </w:p>
    <w:p>
      <w:pPr>
        <w:pStyle w:val="168"/>
      </w:pPr>
      <w:r>
        <w:rPr>
          <w:rFonts w:hint="eastAsia"/>
        </w:rPr>
        <w:t>评价主体应制定营商环境评价实施方案，明确评价的方式方法、工作流程、时间进度安排、人力资源配置等各项准备工作。</w:t>
      </w:r>
    </w:p>
    <w:p>
      <w:pPr>
        <w:pStyle w:val="168"/>
      </w:pPr>
      <w:r>
        <w:rPr>
          <w:rFonts w:hint="eastAsia"/>
        </w:rPr>
        <w:t>评价主体可根据评价工作需要在附录A中表A</w:t>
      </w:r>
      <w:r>
        <w:t>.1</w:t>
      </w:r>
      <w:r>
        <w:rPr>
          <w:rFonts w:hint="eastAsia"/>
        </w:rPr>
        <w:t>基础上增加评价内容，并明确评价细则。</w:t>
      </w:r>
    </w:p>
    <w:p>
      <w:pPr>
        <w:pStyle w:val="108"/>
        <w:spacing w:before="156" w:after="156"/>
      </w:pPr>
      <w:bookmarkStart w:id="181" w:name="_Toc170823232"/>
      <w:bookmarkStart w:id="182" w:name="_Toc171183422"/>
      <w:bookmarkStart w:id="183" w:name="_Toc196128661"/>
      <w:bookmarkStart w:id="184" w:name="_Toc172454981"/>
      <w:bookmarkStart w:id="185" w:name="_Toc170815195"/>
      <w:bookmarkStart w:id="186" w:name="_Toc196128158"/>
      <w:bookmarkStart w:id="187" w:name="_Toc3045"/>
      <w:bookmarkStart w:id="188" w:name="_Toc158215369"/>
      <w:bookmarkStart w:id="189" w:name="_Toc171183791"/>
      <w:bookmarkStart w:id="190" w:name="_Toc172455231"/>
      <w:bookmarkStart w:id="191" w:name="_Toc170841490"/>
      <w:r>
        <w:rPr>
          <w:rFonts w:hint="eastAsia"/>
        </w:rPr>
        <w:t>数据采集</w:t>
      </w:r>
      <w:bookmarkEnd w:id="181"/>
      <w:bookmarkEnd w:id="182"/>
      <w:bookmarkEnd w:id="183"/>
      <w:bookmarkEnd w:id="184"/>
      <w:bookmarkEnd w:id="185"/>
      <w:bookmarkEnd w:id="186"/>
      <w:bookmarkEnd w:id="187"/>
      <w:bookmarkEnd w:id="188"/>
      <w:bookmarkEnd w:id="189"/>
      <w:bookmarkEnd w:id="190"/>
      <w:bookmarkEnd w:id="191"/>
    </w:p>
    <w:p>
      <w:pPr>
        <w:pStyle w:val="168"/>
      </w:pPr>
      <w:r>
        <w:rPr>
          <w:rFonts w:hint="eastAsia"/>
        </w:rPr>
        <w:t>以各地、各部门指标实际完成质效情况为依据，通过系统平台（包括但不限于部门业务系统、数据统计网站）、现场核查（包括但不限于部门网站、统计年鉴、公示平台）等方法对各指标数据进行采集。</w:t>
      </w:r>
    </w:p>
    <w:p>
      <w:pPr>
        <w:pStyle w:val="168"/>
      </w:pPr>
      <w:r>
        <w:rPr>
          <w:rFonts w:hint="eastAsia"/>
        </w:rPr>
        <w:t>应在区直部门业务系统直接调取相关评价对象的部分数据。</w:t>
      </w:r>
    </w:p>
    <w:p>
      <w:pPr>
        <w:pStyle w:val="108"/>
        <w:spacing w:before="156" w:after="156"/>
      </w:pPr>
      <w:bookmarkStart w:id="192" w:name="_Toc171183794"/>
      <w:bookmarkStart w:id="193" w:name="_Toc170823235"/>
      <w:bookmarkStart w:id="194" w:name="_Toc170841493"/>
      <w:bookmarkStart w:id="195" w:name="_Toc171183425"/>
      <w:bookmarkStart w:id="196" w:name="_Toc170815198"/>
      <w:bookmarkStart w:id="197" w:name="_Toc158215372"/>
      <w:bookmarkStart w:id="198" w:name="_Toc172455234"/>
      <w:bookmarkStart w:id="199" w:name="_Toc196128662"/>
      <w:bookmarkStart w:id="200" w:name="_Toc25850"/>
      <w:bookmarkStart w:id="201" w:name="_Toc196128159"/>
      <w:bookmarkStart w:id="202" w:name="_Toc172454984"/>
      <w:r>
        <w:rPr>
          <w:rFonts w:hint="eastAsia"/>
        </w:rPr>
        <w:t>数据核验</w:t>
      </w:r>
      <w:bookmarkEnd w:id="192"/>
      <w:bookmarkEnd w:id="193"/>
      <w:bookmarkEnd w:id="194"/>
      <w:bookmarkEnd w:id="195"/>
      <w:bookmarkEnd w:id="196"/>
      <w:bookmarkEnd w:id="197"/>
      <w:r>
        <w:rPr>
          <w:rFonts w:hint="eastAsia"/>
        </w:rPr>
        <w:t>与处理</w:t>
      </w:r>
      <w:bookmarkEnd w:id="198"/>
      <w:bookmarkEnd w:id="199"/>
      <w:bookmarkEnd w:id="200"/>
      <w:bookmarkEnd w:id="201"/>
      <w:bookmarkEnd w:id="202"/>
    </w:p>
    <w:p>
      <w:pPr>
        <w:pStyle w:val="168"/>
      </w:pPr>
      <w:r>
        <w:rPr>
          <w:rFonts w:hint="eastAsia"/>
        </w:rPr>
        <w:t>对采集到的数据进行核验，存疑数据应进行实地复核，排除错误数据和信息。</w:t>
      </w:r>
    </w:p>
    <w:p>
      <w:pPr>
        <w:pStyle w:val="168"/>
      </w:pPr>
      <w:r>
        <w:rPr>
          <w:rFonts w:hint="eastAsia"/>
        </w:rPr>
        <w:t>数据采集完成后按照第8章要求进行数据处理，并形成相应评价结果。</w:t>
      </w:r>
    </w:p>
    <w:p>
      <w:pPr>
        <w:pStyle w:val="108"/>
        <w:spacing w:before="156" w:after="156"/>
      </w:pPr>
      <w:bookmarkStart w:id="203" w:name="_Toc171183426"/>
      <w:bookmarkStart w:id="204" w:name="_Toc170841494"/>
      <w:bookmarkStart w:id="205" w:name="_Toc170815199"/>
      <w:bookmarkStart w:id="206" w:name="_Toc196128663"/>
      <w:bookmarkStart w:id="207" w:name="_Toc170823236"/>
      <w:bookmarkStart w:id="208" w:name="_Toc172454985"/>
      <w:bookmarkStart w:id="209" w:name="_Toc172455235"/>
      <w:bookmarkStart w:id="210" w:name="_Toc4092"/>
      <w:bookmarkStart w:id="211" w:name="_Toc171183795"/>
      <w:bookmarkStart w:id="212" w:name="_Toc196128160"/>
      <w:r>
        <w:rPr>
          <w:rFonts w:hint="eastAsia"/>
        </w:rPr>
        <w:t>报告编制</w:t>
      </w:r>
      <w:bookmarkEnd w:id="203"/>
      <w:bookmarkEnd w:id="204"/>
      <w:bookmarkEnd w:id="205"/>
      <w:bookmarkEnd w:id="206"/>
      <w:bookmarkEnd w:id="207"/>
      <w:bookmarkEnd w:id="208"/>
      <w:bookmarkEnd w:id="209"/>
      <w:bookmarkEnd w:id="210"/>
      <w:bookmarkEnd w:id="211"/>
      <w:bookmarkEnd w:id="212"/>
    </w:p>
    <w:p>
      <w:pPr>
        <w:pStyle w:val="168"/>
        <w:rPr>
          <w:kern w:val="2"/>
          <w:szCs w:val="21"/>
        </w:rPr>
      </w:pPr>
      <w:r>
        <w:t>评价完成后，</w:t>
      </w:r>
      <w:r>
        <w:rPr>
          <w:rFonts w:hint="eastAsia"/>
        </w:rPr>
        <w:t>应按照各一级指标和各地级市、县（市）、市辖区、园区分册编制</w:t>
      </w:r>
      <w:r>
        <w:t>营商环境评价报告</w:t>
      </w:r>
      <w:r>
        <w:rPr>
          <w:rFonts w:hint="eastAsia"/>
        </w:rPr>
        <w:t>。</w:t>
      </w:r>
    </w:p>
    <w:p>
      <w:pPr>
        <w:pStyle w:val="168"/>
        <w:rPr>
          <w:lang w:val="zh-CN"/>
        </w:rPr>
      </w:pPr>
      <w:r>
        <w:rPr>
          <w:lang w:val="zh-CN"/>
        </w:rPr>
        <w:t>评价</w:t>
      </w:r>
      <w:r>
        <w:rPr>
          <w:rFonts w:hint="eastAsia"/>
          <w:lang w:val="zh-CN"/>
        </w:rPr>
        <w:t>报告应至少</w:t>
      </w:r>
      <w:r>
        <w:rPr>
          <w:lang w:val="zh-CN"/>
        </w:rPr>
        <w:t>包括以下内容：</w:t>
      </w:r>
    </w:p>
    <w:p>
      <w:pPr>
        <w:pStyle w:val="177"/>
        <w:numPr>
          <w:ilvl w:val="0"/>
          <w:numId w:val="0"/>
        </w:numPr>
        <w:ind w:left="425" w:leftChars="0"/>
        <w:rPr>
          <w:lang w:val="zh-CN"/>
        </w:rPr>
      </w:pPr>
      <w:r>
        <w:rPr>
          <w:rFonts w:hint="eastAsia"/>
          <w:lang w:val="en-US" w:eastAsia="zh-CN"/>
        </w:rPr>
        <w:t xml:space="preserve">a  </w:t>
      </w:r>
      <w:r>
        <w:rPr>
          <w:lang w:val="zh-CN"/>
        </w:rPr>
        <w:t>评价</w:t>
      </w:r>
      <w:r>
        <w:rPr>
          <w:rFonts w:hint="eastAsia"/>
        </w:rPr>
        <w:t>概要</w:t>
      </w:r>
      <w:r>
        <w:rPr>
          <w:lang w:val="zh-CN"/>
        </w:rPr>
        <w:t>，包括评价目标、评价方法、评价</w:t>
      </w:r>
      <w:r>
        <w:rPr>
          <w:rFonts w:hint="eastAsia"/>
          <w:lang w:val="zh-CN"/>
        </w:rPr>
        <w:t>过程</w:t>
      </w:r>
      <w:r>
        <w:rPr>
          <w:lang w:val="zh-CN"/>
        </w:rPr>
        <w:t>、评价数据等；</w:t>
      </w:r>
    </w:p>
    <w:p>
      <w:pPr>
        <w:pStyle w:val="177"/>
        <w:numPr>
          <w:ilvl w:val="0"/>
          <w:numId w:val="0"/>
        </w:numPr>
        <w:ind w:left="425" w:leftChars="0"/>
        <w:rPr>
          <w:lang w:val="zh-CN"/>
        </w:rPr>
      </w:pPr>
      <w:r>
        <w:rPr>
          <w:rFonts w:hint="eastAsia"/>
          <w:lang w:val="en-US" w:eastAsia="zh-CN"/>
        </w:rPr>
        <w:t xml:space="preserve">b  </w:t>
      </w:r>
      <w:r>
        <w:rPr>
          <w:rFonts w:hint="eastAsia"/>
          <w:lang w:val="zh-CN"/>
        </w:rPr>
        <w:t>评价内容，</w:t>
      </w:r>
      <w:r>
        <w:rPr>
          <w:lang w:val="zh-CN"/>
        </w:rPr>
        <w:t>包括评价</w:t>
      </w:r>
      <w:r>
        <w:rPr>
          <w:rFonts w:hint="eastAsia"/>
          <w:lang w:val="zh-CN"/>
        </w:rPr>
        <w:t>对象</w:t>
      </w:r>
      <w:r>
        <w:rPr>
          <w:rFonts w:hint="eastAsia"/>
        </w:rPr>
        <w:t>各指标工作成效、创新亮点</w:t>
      </w:r>
      <w:r>
        <w:rPr>
          <w:lang w:val="zh-CN"/>
        </w:rPr>
        <w:t>等；</w:t>
      </w:r>
    </w:p>
    <w:p>
      <w:pPr>
        <w:pStyle w:val="177"/>
        <w:numPr>
          <w:ilvl w:val="0"/>
          <w:numId w:val="0"/>
        </w:numPr>
        <w:ind w:left="425" w:leftChars="0"/>
        <w:rPr>
          <w:lang w:val="zh-CN"/>
        </w:rPr>
      </w:pPr>
      <w:r>
        <w:rPr>
          <w:rFonts w:hint="eastAsia"/>
          <w:lang w:val="en-US" w:eastAsia="zh-CN"/>
        </w:rPr>
        <w:t xml:space="preserve">c  </w:t>
      </w:r>
      <w:r>
        <w:rPr>
          <w:lang w:val="zh-CN"/>
        </w:rPr>
        <w:t>评价结论，包括评价结果、分析存在主要问题及不足</w:t>
      </w:r>
      <w:r>
        <w:rPr>
          <w:rFonts w:hint="eastAsia"/>
          <w:lang w:val="zh-CN"/>
        </w:rPr>
        <w:t>；</w:t>
      </w:r>
    </w:p>
    <w:p>
      <w:pPr>
        <w:pStyle w:val="177"/>
        <w:numPr>
          <w:ilvl w:val="0"/>
          <w:numId w:val="0"/>
        </w:numPr>
        <w:ind w:left="425" w:leftChars="0"/>
        <w:rPr>
          <w:lang w:val="zh-CN"/>
        </w:rPr>
      </w:pPr>
      <w:r>
        <w:rPr>
          <w:rFonts w:hint="eastAsia"/>
          <w:lang w:val="en-US" w:eastAsia="zh-CN"/>
        </w:rPr>
        <w:t xml:space="preserve">d  </w:t>
      </w:r>
      <w:r>
        <w:rPr>
          <w:lang w:val="zh-CN"/>
        </w:rPr>
        <w:t>改进建议，包括提升营商环境建设水平的对策建议。</w:t>
      </w:r>
    </w:p>
    <w:p>
      <w:pPr>
        <w:pStyle w:val="108"/>
        <w:spacing w:before="156" w:after="156"/>
      </w:pPr>
      <w:bookmarkStart w:id="213" w:name="_Toc196128664"/>
      <w:bookmarkStart w:id="214" w:name="_Toc196128161"/>
      <w:bookmarkStart w:id="215" w:name="_Toc28387"/>
      <w:r>
        <w:rPr>
          <w:rFonts w:hint="eastAsia"/>
        </w:rPr>
        <w:t>报告发布与建档</w:t>
      </w:r>
      <w:bookmarkEnd w:id="213"/>
      <w:bookmarkEnd w:id="214"/>
      <w:bookmarkEnd w:id="215"/>
    </w:p>
    <w:p>
      <w:pPr>
        <w:pStyle w:val="168"/>
      </w:pPr>
      <w:r>
        <w:rPr>
          <w:rFonts w:hint="eastAsia"/>
        </w:rPr>
        <w:t>委托方应根据工作需要选择评价报告的发布形式、时间和范围，并进行发布。</w:t>
      </w:r>
    </w:p>
    <w:p>
      <w:pPr>
        <w:pStyle w:val="168"/>
        <w:rPr>
          <w:szCs w:val="21"/>
        </w:rPr>
      </w:pPr>
      <w:r>
        <w:rPr>
          <w:rFonts w:hint="eastAsia"/>
        </w:rPr>
        <w:t>建立营商环境评价档案，评价过程中所形成的原始记录应作为评价报告的佐证材料与评价报告一同建档，档案管理按照相关要求执行。</w:t>
      </w:r>
    </w:p>
    <w:p>
      <w:pPr>
        <w:pStyle w:val="107"/>
        <w:spacing w:before="312" w:after="312"/>
      </w:pPr>
      <w:bookmarkStart w:id="216" w:name="_Toc171183354"/>
      <w:bookmarkStart w:id="217" w:name="_Toc196128162"/>
      <w:bookmarkStart w:id="218" w:name="_Toc172455236"/>
      <w:bookmarkStart w:id="219" w:name="_Toc196128665"/>
      <w:bookmarkStart w:id="220" w:name="_Toc172454986"/>
      <w:bookmarkStart w:id="221" w:name="_Toc171183429"/>
      <w:bookmarkStart w:id="222" w:name="_Toc27224"/>
      <w:bookmarkStart w:id="223" w:name="_Toc171183166"/>
      <w:bookmarkStart w:id="224" w:name="_Toc171183798"/>
      <w:r>
        <w:rPr>
          <w:rFonts w:hint="eastAsia"/>
        </w:rPr>
        <w:t>结果应用</w:t>
      </w:r>
      <w:bookmarkEnd w:id="216"/>
      <w:bookmarkEnd w:id="217"/>
      <w:bookmarkEnd w:id="218"/>
      <w:bookmarkEnd w:id="219"/>
      <w:bookmarkEnd w:id="220"/>
      <w:bookmarkEnd w:id="221"/>
      <w:bookmarkEnd w:id="222"/>
      <w:bookmarkEnd w:id="223"/>
      <w:bookmarkEnd w:id="224"/>
    </w:p>
    <w:p>
      <w:pPr>
        <w:pStyle w:val="165"/>
      </w:pPr>
      <w:r>
        <w:rPr>
          <w:rFonts w:hint="eastAsia"/>
        </w:rPr>
        <w:t>评价结果通报评价对象，指导各地、各部门对标补短，明确改进方向和工作目标，持续优化营商环境，激发各类市场主体活力。</w:t>
      </w:r>
    </w:p>
    <w:p>
      <w:pPr>
        <w:pStyle w:val="165"/>
      </w:pPr>
      <w:r>
        <w:rPr>
          <w:rFonts w:hint="eastAsia"/>
        </w:rPr>
        <w:t>营商环境评价应总结各地各部门优化营商环境的先进经验和创新实践，形成典型案例予以复制推广，引导各地各部门对标先进、深化改革。</w:t>
      </w:r>
    </w:p>
    <w:p>
      <w:pPr>
        <w:pStyle w:val="165"/>
      </w:pPr>
      <w:r>
        <w:rPr>
          <w:rFonts w:hint="eastAsia"/>
        </w:rPr>
        <w:t>营商环境评价应对标前沿标杆、找准各地、各部门营商环境短板弱项，制定具有针对性、前瞻性、可操作性的优化整改方案。</w:t>
      </w:r>
    </w:p>
    <w:p>
      <w:pPr>
        <w:pStyle w:val="59"/>
        <w:widowControl w:val="0"/>
        <w:ind w:firstLine="0" w:firstLineChars="0"/>
        <w:sectPr>
          <w:headerReference r:id="rId14" w:type="default"/>
          <w:footerReference r:id="rId16" w:type="default"/>
          <w:headerReference r:id="rId15" w:type="even"/>
          <w:footerReference r:id="rId17" w:type="even"/>
          <w:pgSz w:w="11906" w:h="16838"/>
          <w:pgMar w:top="1928" w:right="1134" w:bottom="1134" w:left="1134" w:header="1418" w:footer="1134" w:gutter="284"/>
          <w:pgNumType w:start="1"/>
          <w:cols w:space="425" w:num="1"/>
          <w:formProt w:val="0"/>
          <w:docGrid w:type="lines" w:linePitch="312" w:charSpace="0"/>
        </w:sectPr>
      </w:pPr>
    </w:p>
    <w:bookmarkEnd w:id="26"/>
    <w:p>
      <w:pPr>
        <w:pStyle w:val="201"/>
        <w:rPr>
          <w:rFonts w:hint="eastAsia"/>
          <w:vanish w:val="0"/>
        </w:rPr>
      </w:pPr>
      <w:bookmarkStart w:id="225" w:name="BookMark5"/>
    </w:p>
    <w:p>
      <w:pPr>
        <w:pStyle w:val="202"/>
        <w:rPr>
          <w:vanish w:val="0"/>
        </w:rPr>
      </w:pPr>
    </w:p>
    <w:p>
      <w:pPr>
        <w:pStyle w:val="79"/>
        <w:spacing w:after="156"/>
      </w:pPr>
      <w:r>
        <w:br w:type="textWrapping"/>
      </w:r>
      <w:bookmarkStart w:id="226" w:name="_Toc196128163"/>
      <w:bookmarkStart w:id="227" w:name="_Toc196128666"/>
      <w:r>
        <w:rPr>
          <w:rFonts w:hint="eastAsia"/>
        </w:rPr>
        <w:t>（规范性）</w:t>
      </w:r>
      <w:r>
        <w:br w:type="textWrapping"/>
      </w:r>
      <w:bookmarkEnd w:id="226"/>
      <w:bookmarkEnd w:id="227"/>
    </w:p>
    <w:p>
      <w:pPr>
        <w:pStyle w:val="80"/>
        <w:numPr>
          <w:ilvl w:val="1"/>
          <w:numId w:val="0"/>
        </w:numPr>
        <w:spacing w:before="156" w:after="156"/>
        <w:ind w:leftChars="0"/>
        <w:jc w:val="center"/>
      </w:pPr>
      <w:r>
        <w:rPr>
          <w:rFonts w:hint="eastAsia"/>
          <w:lang w:eastAsia="zh-CN"/>
        </w:rPr>
        <w:t>表</w:t>
      </w:r>
      <w:r>
        <w:rPr>
          <w:rFonts w:hint="eastAsia"/>
          <w:lang w:val="en-US" w:eastAsia="zh-CN"/>
        </w:rPr>
        <w:t xml:space="preserve">A </w:t>
      </w:r>
      <w:r>
        <w:rPr>
          <w:rFonts w:hint="eastAsia"/>
        </w:rPr>
        <w:t>宁夏回族自治区营商环境评价指标体系</w:t>
      </w:r>
    </w:p>
    <w:tbl>
      <w:tblPr>
        <w:tblStyle w:val="28"/>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656"/>
        <w:gridCol w:w="638"/>
        <w:gridCol w:w="3920"/>
        <w:gridCol w:w="3463"/>
        <w:gridCol w:w="1762"/>
        <w:gridCol w:w="1083"/>
        <w:gridCol w:w="738"/>
        <w:gridCol w:w="703"/>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81" w:type="pct"/>
            <w:shd w:val="clear" w:color="auto" w:fill="auto"/>
            <w:vAlign w:val="center"/>
          </w:tcPr>
          <w:p>
            <w:pPr>
              <w:widowControl/>
              <w:adjustRightInd/>
              <w:spacing w:line="240" w:lineRule="auto"/>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231" w:type="pct"/>
            <w:shd w:val="clear" w:color="auto" w:fill="auto"/>
            <w:vAlign w:val="center"/>
          </w:tcPr>
          <w:p>
            <w:pPr>
              <w:widowControl/>
              <w:adjustRightInd/>
              <w:spacing w:line="240" w:lineRule="auto"/>
              <w:jc w:val="both"/>
              <w:rPr>
                <w:rFonts w:hint="default" w:ascii="宋体" w:hAnsi="宋体" w:eastAsia="宋体" w:cs="宋体"/>
                <w:b/>
                <w:bCs/>
                <w:color w:val="000000" w:themeColor="text1"/>
                <w:kern w:val="0"/>
                <w:sz w:val="20"/>
                <w:szCs w:val="20"/>
                <w:lang w:val="en-US" w:eastAsia="zh-CN"/>
                <w14:textFill>
                  <w14:solidFill>
                    <w14:schemeClr w14:val="tx1"/>
                  </w14:solidFill>
                </w14:textFill>
              </w:rPr>
            </w:pPr>
            <w:r>
              <w:rPr>
                <w:rFonts w:hint="eastAsia" w:ascii="宋体" w:hAnsi="宋体" w:cs="宋体"/>
                <w:b/>
                <w:bCs/>
                <w:color w:val="000000" w:themeColor="text1"/>
                <w:kern w:val="0"/>
                <w:sz w:val="20"/>
                <w:szCs w:val="20"/>
                <w:lang w:val="en-US" w:eastAsia="zh-CN"/>
                <w14:textFill>
                  <w14:solidFill>
                    <w14:schemeClr w14:val="tx1"/>
                  </w14:solidFill>
                </w14:textFill>
              </w:rPr>
              <w:t>一级指标</w:t>
            </w:r>
          </w:p>
        </w:tc>
        <w:tc>
          <w:tcPr>
            <w:tcW w:w="225" w:type="pct"/>
            <w:shd w:val="clear" w:color="auto" w:fill="auto"/>
            <w:vAlign w:val="center"/>
          </w:tcPr>
          <w:p>
            <w:pPr>
              <w:widowControl/>
              <w:adjustRightInd/>
              <w:spacing w:line="240" w:lineRule="auto"/>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lang w:val="en-US" w:eastAsia="zh-CN"/>
                <w14:textFill>
                  <w14:solidFill>
                    <w14:schemeClr w14:val="tx1"/>
                  </w14:solidFill>
                </w14:textFill>
              </w:rPr>
              <w:t>二</w:t>
            </w:r>
            <w:r>
              <w:rPr>
                <w:rFonts w:hint="eastAsia" w:ascii="宋体" w:hAnsi="宋体" w:cs="宋体"/>
                <w:b/>
                <w:bCs/>
                <w:color w:val="000000" w:themeColor="text1"/>
                <w:kern w:val="0"/>
                <w:sz w:val="20"/>
                <w:szCs w:val="20"/>
                <w14:textFill>
                  <w14:solidFill>
                    <w14:schemeClr w14:val="tx1"/>
                  </w14:solidFill>
                </w14:textFill>
              </w:rPr>
              <w:t>级指标</w:t>
            </w:r>
          </w:p>
        </w:tc>
        <w:tc>
          <w:tcPr>
            <w:tcW w:w="1384" w:type="pct"/>
            <w:shd w:val="clear" w:color="auto" w:fill="auto"/>
            <w:vAlign w:val="center"/>
          </w:tcPr>
          <w:p>
            <w:pPr>
              <w:widowControl/>
              <w:adjustRightInd/>
              <w:spacing w:line="240" w:lineRule="auto"/>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评定方式</w:t>
            </w:r>
          </w:p>
        </w:tc>
        <w:tc>
          <w:tcPr>
            <w:tcW w:w="1223" w:type="pct"/>
            <w:shd w:val="clear" w:color="auto" w:fill="auto"/>
            <w:vAlign w:val="center"/>
          </w:tcPr>
          <w:p>
            <w:pPr>
              <w:widowControl/>
              <w:adjustRightInd/>
              <w:spacing w:line="240" w:lineRule="auto"/>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计算公式</w:t>
            </w:r>
          </w:p>
        </w:tc>
        <w:tc>
          <w:tcPr>
            <w:tcW w:w="622" w:type="pct"/>
            <w:shd w:val="clear" w:color="auto" w:fill="auto"/>
            <w:vAlign w:val="center"/>
          </w:tcPr>
          <w:p>
            <w:pPr>
              <w:widowControl/>
              <w:adjustRightInd/>
              <w:spacing w:line="240" w:lineRule="auto"/>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数据提供单位</w:t>
            </w:r>
          </w:p>
        </w:tc>
        <w:tc>
          <w:tcPr>
            <w:tcW w:w="382" w:type="pct"/>
            <w:shd w:val="clear" w:color="auto" w:fill="auto"/>
            <w:vAlign w:val="center"/>
          </w:tcPr>
          <w:p>
            <w:pPr>
              <w:widowControl/>
              <w:adjustRightInd/>
              <w:spacing w:line="240" w:lineRule="auto"/>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数据采集来源</w:t>
            </w:r>
          </w:p>
        </w:tc>
        <w:tc>
          <w:tcPr>
            <w:tcW w:w="260" w:type="pct"/>
            <w:shd w:val="clear" w:color="auto" w:fill="auto"/>
            <w:vAlign w:val="center"/>
          </w:tcPr>
          <w:p>
            <w:pPr>
              <w:widowControl/>
              <w:adjustRightInd/>
              <w:spacing w:line="240" w:lineRule="auto"/>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地级市</w:t>
            </w:r>
          </w:p>
        </w:tc>
        <w:tc>
          <w:tcPr>
            <w:tcW w:w="248" w:type="pct"/>
            <w:shd w:val="clear" w:color="auto" w:fill="auto"/>
            <w:vAlign w:val="center"/>
          </w:tcPr>
          <w:p>
            <w:pPr>
              <w:widowControl/>
              <w:adjustRightInd/>
              <w:spacing w:line="240" w:lineRule="auto"/>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县</w:t>
            </w:r>
            <w:r>
              <w:rPr>
                <w:rFonts w:hint="eastAsia" w:ascii="宋体" w:hAnsi="宋体" w:cs="宋体"/>
                <w:b/>
                <w:bCs/>
                <w:color w:val="000000" w:themeColor="text1"/>
                <w:spacing w:val="-10"/>
                <w:kern w:val="0"/>
                <w:sz w:val="20"/>
                <w:szCs w:val="20"/>
                <w14:textFill>
                  <w14:solidFill>
                    <w14:schemeClr w14:val="tx1"/>
                  </w14:solidFill>
                </w14:textFill>
              </w:rPr>
              <w:t>（市）</w:t>
            </w:r>
          </w:p>
        </w:tc>
        <w:tc>
          <w:tcPr>
            <w:tcW w:w="240" w:type="pct"/>
            <w:shd w:val="clear" w:color="auto" w:fill="auto"/>
            <w:vAlign w:val="center"/>
          </w:tcPr>
          <w:p>
            <w:pPr>
              <w:widowControl/>
              <w:adjustRightInd/>
              <w:spacing w:line="240" w:lineRule="auto"/>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市辖区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restar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市场环境</w:t>
            </w:r>
          </w:p>
        </w:tc>
        <w:tc>
          <w:tcPr>
            <w:tcW w:w="225" w:type="pct"/>
            <w:vMerge w:val="restart"/>
            <w:shd w:val="clear" w:color="000000" w:fill="FFFFFF"/>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市场准入</w:t>
            </w: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未被通报违背市场准入负面清单典型案例得1分，被通报不得分。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自治区发展和改革委员会、自治区市场监督管理厅</w:t>
            </w:r>
          </w:p>
        </w:tc>
        <w:tc>
          <w:tcPr>
            <w:tcW w:w="382"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shd w:val="clear" w:color="000000" w:fill="FFFFFF"/>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实现市场准入类“一件事”办理数量（项），正向前沿距离法计算，满分1分。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审批服务管理局</w:t>
            </w:r>
          </w:p>
        </w:tc>
        <w:tc>
          <w:tcPr>
            <w:tcW w:w="382"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shd w:val="clear" w:color="000000" w:fill="FFFFFF"/>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新设企业电子营业执照领取率（%），正向前沿距离法计算，满分1分。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新设企业电子营业执照领取率（%）=本地区新设企业电子营业执照领取数量（户）/新设企业总数（户）*100%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自治区市场监督管理厅</w:t>
            </w:r>
          </w:p>
        </w:tc>
        <w:tc>
          <w:tcPr>
            <w:tcW w:w="382"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shd w:val="clear" w:color="000000" w:fill="FFFFFF"/>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可通过电子营业执照办理的线上政务服务事项数量（个），正向前沿距离法计算，满分1分。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审批服务管理局、市场监督管理局</w:t>
            </w:r>
          </w:p>
        </w:tc>
        <w:tc>
          <w:tcPr>
            <w:tcW w:w="382"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shd w:val="clear" w:color="000000" w:fill="FFFFFF"/>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新设企业开办企业业务全流程办理时间（工作日）承诺时限内完成率（%），达到100%得1分，未达到不得分。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新设企业开办企业业务全流程办理时间（工作日）承诺时限内完成率（%）=承诺时限内办理业务笔数/业务总笔数*100%</w:t>
            </w:r>
          </w:p>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新设企业开办企业业务全流程办理时间（工作日）=业务（含设立登记、预约刻制印章、申领发票和税控设备、银行预约开户、公积金缴存登记、医社保缴存登记，下同）办理部门完成事项办理并推送办理结果的时间-业务申请人正式提交或系统推送至办理部门的时间（因提交材料不规范导致退回补正的时间不计算在内，业务笔数以申请人实际提交的业务计算）</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自治区市场监督管理厅、国家税务总局宁夏回族自治区税务局、自治区医疗保障局、自治区住房资金管理中心、人民银行宁夏</w:t>
            </w:r>
            <w:r>
              <w:rPr>
                <w:rFonts w:hint="eastAsia" w:ascii="宋体" w:hAnsi="宋体" w:cs="宋体"/>
                <w:color w:val="000000" w:themeColor="text1"/>
                <w:kern w:val="0"/>
                <w:sz w:val="20"/>
                <w:szCs w:val="20"/>
                <w:lang w:eastAsia="zh-CN"/>
                <w14:textFill>
                  <w14:solidFill>
                    <w14:schemeClr w14:val="tx1"/>
                  </w14:solidFill>
                </w14:textFill>
              </w:rPr>
              <w:t>区</w:t>
            </w:r>
            <w:r>
              <w:rPr>
                <w:rFonts w:hint="eastAsia" w:ascii="宋体" w:hAnsi="宋体" w:cs="宋体"/>
                <w:color w:val="000000" w:themeColor="text1"/>
                <w:kern w:val="0"/>
                <w:sz w:val="20"/>
                <w:szCs w:val="20"/>
                <w14:textFill>
                  <w14:solidFill>
                    <w14:schemeClr w14:val="tx1"/>
                  </w14:solidFill>
                </w14:textFill>
              </w:rPr>
              <w:t>分行</w:t>
            </w:r>
          </w:p>
        </w:tc>
        <w:tc>
          <w:tcPr>
            <w:tcW w:w="382"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shd w:val="clear" w:color="000000" w:fill="FFFFFF"/>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企业普通注销办理时间（工作日）承诺时限内完成率（%），达到100%得1分，未达到不得分。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本地区企业普通注销办理耗时（工作日）承诺时限内完成率（%）=承诺时限内办理业务笔数/业务总笔数*100%</w:t>
            </w:r>
          </w:p>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企业普通注销办理时间（工作日）=业务（含营业执照、医社保、公积金、银行账户、公积金等全领域注销事项，下同）办理部门完成事项办理并推送办理结果的时间-业务申请人正式提交或系统推送至办理部门的时间（因提交材料不规范导致退回补正的时间不计算在内，业务笔数以申请人实际提交的业务计算）</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自治区市场监督管理厅、国家税务总局宁夏回族自治区税务局、自治区医疗保障局、自治区住房资金管理中心、人民银行宁夏</w:t>
            </w:r>
            <w:r>
              <w:rPr>
                <w:rFonts w:hint="eastAsia" w:ascii="宋体" w:hAnsi="宋体" w:cs="宋体"/>
                <w:color w:val="000000" w:themeColor="text1"/>
                <w:kern w:val="0"/>
                <w:sz w:val="20"/>
                <w:szCs w:val="20"/>
                <w:lang w:eastAsia="zh-CN"/>
                <w14:textFill>
                  <w14:solidFill>
                    <w14:schemeClr w14:val="tx1"/>
                  </w14:solidFill>
                </w14:textFill>
              </w:rPr>
              <w:t>区</w:t>
            </w:r>
            <w:r>
              <w:rPr>
                <w:rFonts w:hint="eastAsia" w:ascii="宋体" w:hAnsi="宋体" w:cs="宋体"/>
                <w:color w:val="000000" w:themeColor="text1"/>
                <w:kern w:val="0"/>
                <w:sz w:val="20"/>
                <w:szCs w:val="20"/>
                <w14:textFill>
                  <w14:solidFill>
                    <w14:schemeClr w14:val="tx1"/>
                  </w14:solidFill>
                </w14:textFill>
              </w:rPr>
              <w:t>分行</w:t>
            </w:r>
          </w:p>
        </w:tc>
        <w:tc>
          <w:tcPr>
            <w:tcW w:w="382"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val="0"/>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restart"/>
            <w:shd w:val="clear" w:color="000000" w:fill="FFFFFF"/>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政府采购</w:t>
            </w: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采购意向公开率（%），正向前沿距离法计算，满分1分。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采购意向公开率（%）=（提前发布采购意向公开的项目数-终止的政府采购项目数）/总项目数（按项目实施的集中采购目录以内或者采购限额标准以上的货物、工程、服务采购项目数）*100%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自治区财政厅</w:t>
            </w:r>
          </w:p>
        </w:tc>
        <w:tc>
          <w:tcPr>
            <w:tcW w:w="382"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采购合同按时公开率（%），正向前沿距离法计算，满分1分。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采购合同按时公开率（%）=合同签订后按时公开的项目数/已签订合同的政府采购项目总数*100%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自治区财政厅</w:t>
            </w:r>
          </w:p>
        </w:tc>
        <w:tc>
          <w:tcPr>
            <w:tcW w:w="382"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不见面开标率（%），正向前沿距离法计算，满分1分。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不见面开标率（%）=采用不见面方式开标的项目数量/政府采购项目总数*100%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宁夏公共资源交易中心</w:t>
            </w:r>
          </w:p>
        </w:tc>
        <w:tc>
          <w:tcPr>
            <w:tcW w:w="382"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中小微企业合同总额占比（%），正向前沿距离法计算，满分1分。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中小微企业合同总额占比（%）=中小微企业合同总额/政府采购项目合同总额*100%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自治区财政厅</w:t>
            </w:r>
          </w:p>
        </w:tc>
        <w:tc>
          <w:tcPr>
            <w:tcW w:w="382"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财政部门投诉按时办结率（%），正向前沿距离法计算，满分1分。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财政部门投诉按时办结率（%）=财政部门按时办结的投诉数量/财政部门受理的投诉总数量*100%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财政局</w:t>
            </w:r>
          </w:p>
        </w:tc>
        <w:tc>
          <w:tcPr>
            <w:tcW w:w="382"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合同签订平均时间（工作日），负向前沿距离法计算，满分1分。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合同签订平均时间（工作日）=∑（合同签订日期-中标公告发出日期）/已签订合同的政府采购项目总数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自治区财政厅</w:t>
            </w:r>
          </w:p>
        </w:tc>
        <w:tc>
          <w:tcPr>
            <w:tcW w:w="382"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对于需要支付预付款且满足合同约定支付条件的项目，收到发票后至预付款支付平均时间（工作日），负向前沿距离法计算，满分1分。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预付款支付平均时间（工作日）=∑（预付款支付日期-收到发票日期）/签订预付款合同的政府采购项目总数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自治区财政厅</w:t>
            </w:r>
          </w:p>
        </w:tc>
        <w:tc>
          <w:tcPr>
            <w:tcW w:w="382"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采购人资金及时支付率（%），正向前沿距离法计算，满分1分。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采购人资金及时支付率（%）=法定期限内支付资金项目数/法定期限内应支付款项的政府采购项目总数*100%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自治区财政厅</w:t>
            </w:r>
          </w:p>
        </w:tc>
        <w:tc>
          <w:tcPr>
            <w:tcW w:w="382"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保证金收取率（%），负向前沿距离法计算，满分1分。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保证金收取率（%）=收取保证金项目数/中标项目总数*100%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宁夏公共资源交易中心</w:t>
            </w:r>
          </w:p>
        </w:tc>
        <w:tc>
          <w:tcPr>
            <w:tcW w:w="382"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保证金及时退付率（%），正向前沿距离法计算，满分1分。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保证金及时退付率（%）=及时退付的保证金笔数/应退付保证金总比数*100%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宁夏公共资源交易中心</w:t>
            </w:r>
          </w:p>
        </w:tc>
        <w:tc>
          <w:tcPr>
            <w:tcW w:w="382"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restar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招标投标</w:t>
            </w: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招标计划提前发布或招标文件公示项目占依法必须招标项目的比例（%），正向前沿距离法计算，满分1分。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招标计划提前发布或招标文件公示项目占依法必须招标项目的比例（%）=招标计划提前发布或招标文件公示项目数/依法必须招标项目数*100%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宁夏公共资源交易中心</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依法必须招标项目全流程电子化率（%），正向前沿距离法计算，满分1分。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依法必须招标项目全流程电子化率（%）=依法必须招标项目中采用全流程电子化的项目数量/依法必须招标项目总数*100%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宁夏公共资源交易中心</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不见面开标率（%），正向前沿距离法计算，满分1分。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不见面开标率（%）=采用不见面方式开标的项目数量/依法必须招标项目总数*100%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宁夏公共资源交易中心</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网络远程异地评标率（%），正向前沿距离法计算，满分1分。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网络远程异地评标率（%）=采用网络远程异地评标项目数量/依法必须招标项目总数*100%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宁夏公共资源交易中心</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数字证书跨区域兼容互认数量（个），正向前沿距离法计算，满分1分。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数字证书跨区域兼容互认数量（个）=招标投标领域已实现的省内数字证书互认数量+省外数字证书互认数量</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宁夏公共资源交易中心</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电子保函费率（%），负向前沿距离法计算，满分1分。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宁夏公共资源交易中心</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电子保函申请办理平均时间（工作日），负向前沿距离法计算，满分1分。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电子保函申请办理平均时间（工作日）=∑（办结时间-申请时间）/业务总笔数</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宁夏公共资源交易中心</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招投标项目异议、投诉平均答复时间（工作日），负向前沿距离法计算，满分1分。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招投标项目异议、投诉平均答复时间（工作日）=∑（异议、投诉答复时间-提出异议、投诉时间）/受理异议、投诉总数（分别统计异议、投诉情况）</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各领域行政监管部门</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公共资源交易平台在线异议、投诉按时办结率（%），正向前沿距离法计算，满分1分。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公共资源交易平台在线异议、投诉按时办结率（%）=公共资源交易平台按时办结的异议、投诉数量/平台受理的异议、投诉总数量*100%（分别统计异议、投诉情况）</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各领域行政监管部门</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招标投标项目合同签订平均时间（工作日），负向前沿距离法计算，满分1分。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招标投标项目合同签订平均时间（工作日）=∑（合同签订日期-中标公示日期）/项目总数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宁夏公共资源交易中心</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签订合同信息公开率（%），正向前沿距离法计算，满分1分。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签订合同信息公开率（%）=签订合同信息公开项目数/签订合同项目总数*100%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宁夏公共资源交易中心</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依法必须招标项目投标保证金及时退付率（%），正向前沿距离法计算，满分1分。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依法必须招标项目投标保证金及时退付率（%）=及时退付的投标保证金笔数/总投标保证金笔数*100%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宁夏公共资源交易中心</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宁夏公共资源交易平台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restart"/>
            <w:shd w:val="clear" w:color="000000" w:fill="FFFFFF"/>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市场开放</w:t>
            </w: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外贸依存度（%），正向前沿距离法，满分1分。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外贸依存度（%）=（进出口总额/地区生产总值）*100%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银川海关、自治区统计局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实际使用外资总额同比增长率（%），正向前沿距离法，满分1分。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本地区实际使用外资总额同比增长率（%）=[本年度实际使用外资总额（亿元）-上年度实际使用外资总额（亿元）]/上年度实际使用外资总额（亿元）*100%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自治区商务厅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val="0"/>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新设外商投资企业同比增长率（%），正向前沿距离法，满分1分。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本地区新设外商投资企业同比增长率（%）=[本年度新设外商投资企业（家）-上年度新设外商投资企业（家）]/上年度新设外商投资企业（家）*100%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自治区市场监督管理厅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有实际进出口业务企业同比增长率（%），正向前沿距离法，满分1分。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本地区有实际进出口业务企业同比增长率（%）=[本年度有实际进出口业务企业数（家）-上一年度有实际进出口业务企业数（家）]/上一年度有实际进出口业务企业数（家）*100%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银川海关</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招商引资实际到位资金指导性目标任务增长率（%），正向前沿距离法，满分1分。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招商引资实际到位资金指导性目标任务增长率（%）=[本地区招商引资实际到位资金（亿元）-指导性目标任务（亿元）]/指导性目标任务（亿元）</w:t>
            </w:r>
            <w:r>
              <w:rPr>
                <w:rFonts w:hint="eastAsia" w:ascii="宋体" w:hAnsi="宋体" w:cs="宋体"/>
                <w:color w:val="000000" w:themeColor="text1"/>
                <w:kern w:val="0"/>
                <w:sz w:val="20"/>
                <w:szCs w:val="20"/>
                <w:lang w:bidi="ar"/>
                <w14:textFill>
                  <w14:solidFill>
                    <w14:schemeClr w14:val="tx1"/>
                  </w14:solidFill>
                </w14:textFill>
              </w:rPr>
              <w:t>*100%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自治区商务厅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开展境内外投资招商引资活动、重点投资促进活动次数（次），正向前沿距离法，满分1分。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商务局、投促局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向民间资本推介重大项目个数占比</w:t>
            </w:r>
            <w:r>
              <w:rPr>
                <w:rFonts w:hint="eastAsia" w:ascii="宋体" w:hAnsi="宋体" w:cs="宋体"/>
                <w:color w:val="000000" w:themeColor="text1"/>
                <w:kern w:val="0"/>
                <w:sz w:val="20"/>
                <w:szCs w:val="20"/>
                <w14:textFill>
                  <w14:solidFill>
                    <w14:schemeClr w14:val="tx1"/>
                  </w14:solidFill>
                </w14:textFill>
              </w:rPr>
              <w:t>（%），正向前沿距离法，满分1分。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推介项目数量占比（%）=辖区推介项目数量/全区推介项目总量*100%（通过宁夏投资项目在线审批监管平台成功在“国家向民间资本推行项目平台公开”推介项目）</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自治区发展改革委</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全国投资项目在线审批监管平台</w:t>
            </w:r>
          </w:p>
        </w:tc>
        <w:tc>
          <w:tcPr>
            <w:tcW w:w="260" w:type="pct"/>
            <w:shd w:val="clear" w:color="auto" w:fill="auto"/>
            <w:noWrap/>
            <w:vAlign w:val="center"/>
          </w:tcPr>
          <w:p>
            <w:pPr>
              <w:keepNext w:val="0"/>
              <w:keepLines w:val="0"/>
              <w:widowControl/>
              <w:suppressLineNumbers w:val="0"/>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240" w:type="pct"/>
            <w:shd w:val="clear" w:color="auto" w:fill="auto"/>
            <w:noWrap/>
            <w:vAlign w:val="center"/>
          </w:tcPr>
          <w:p>
            <w:pPr>
              <w:keepNext w:val="0"/>
              <w:keepLines w:val="0"/>
              <w:widowControl/>
              <w:suppressLineNumbers w:val="0"/>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向民间资本推介重大项目成功率</w:t>
            </w:r>
            <w:r>
              <w:rPr>
                <w:rFonts w:hint="eastAsia" w:ascii="宋体" w:hAnsi="宋体" w:cs="宋体"/>
                <w:color w:val="000000" w:themeColor="text1"/>
                <w:kern w:val="0"/>
                <w:sz w:val="20"/>
                <w:szCs w:val="20"/>
                <w14:textFill>
                  <w14:solidFill>
                    <w14:schemeClr w14:val="tx1"/>
                  </w14:solidFill>
                </w14:textFill>
              </w:rPr>
              <w:t>（%），正向前沿距离法，满分1分。</w:t>
            </w:r>
          </w:p>
        </w:tc>
        <w:tc>
          <w:tcPr>
            <w:tcW w:w="1223" w:type="pct"/>
            <w:shd w:val="clear" w:color="auto" w:fill="auto"/>
            <w:vAlign w:val="center"/>
          </w:tcPr>
          <w:p>
            <w:pPr>
              <w:widowControl/>
              <w:adjustRightInd/>
              <w:spacing w:line="240" w:lineRule="auto"/>
              <w:jc w:val="left"/>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向民间资本推介重大项目成功率</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eastAsia="zh-CN"/>
                <w14:textFill>
                  <w14:solidFill>
                    <w14:schemeClr w14:val="tx1"/>
                  </w14:solidFill>
                </w14:textFill>
              </w:rPr>
              <w:t>民间资本实际参与推介重大项目数量</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eastAsia="zh-CN"/>
                <w14:textFill>
                  <w14:solidFill>
                    <w14:schemeClr w14:val="tx1"/>
                  </w14:solidFill>
                </w14:textFill>
              </w:rPr>
              <w:t>推介项目总数</w:t>
            </w:r>
            <w:r>
              <w:rPr>
                <w:rFonts w:hint="eastAsia" w:ascii="宋体" w:hAnsi="宋体" w:cs="宋体"/>
                <w:color w:val="000000" w:themeColor="text1"/>
                <w:kern w:val="0"/>
                <w:sz w:val="20"/>
                <w:szCs w:val="20"/>
                <w14:textFill>
                  <w14:solidFill>
                    <w14:schemeClr w14:val="tx1"/>
                  </w14:solidFill>
                </w14:textFill>
              </w:rPr>
              <w:t>*100%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自治区发展改革委</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全国投资项目在线审批监管平台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both"/>
              <w:rPr>
                <w:rFonts w:hint="default" w:ascii="宋体" w:hAnsi="宋体" w:cs="宋体"/>
                <w:color w:val="000000" w:themeColor="text1"/>
                <w:kern w:val="0"/>
                <w:sz w:val="20"/>
                <w:szCs w:val="20"/>
                <w:lang w:val="en-US" w:eastAsia="zh-CN"/>
                <w14:textFill>
                  <w14:solidFill>
                    <w14:schemeClr w14:val="tx1"/>
                  </w14:solidFill>
                </w14:textFill>
              </w:rPr>
            </w:pPr>
            <w:r>
              <w:rPr>
                <w:rFonts w:hint="default" w:ascii="宋体" w:hAnsi="宋体" w:cs="宋体"/>
                <w:color w:val="000000" w:themeColor="text1"/>
                <w:kern w:val="0"/>
                <w:sz w:val="20"/>
                <w:szCs w:val="20"/>
                <w:lang w:val="en-US" w:eastAsia="zh-CN"/>
                <w14:textFill>
                  <w14:solidFill>
                    <w14:schemeClr w14:val="tx1"/>
                  </w14:solidFill>
                </w14:textFill>
              </w:rPr>
              <w:t>民间资本参与重大项目建设成效</w:t>
            </w:r>
            <w:r>
              <w:rPr>
                <w:rFonts w:hint="eastAsia" w:ascii="宋体" w:hAnsi="宋体" w:cs="宋体"/>
                <w:color w:val="000000" w:themeColor="text1"/>
                <w:kern w:val="0"/>
                <w:sz w:val="20"/>
                <w:szCs w:val="20"/>
                <w14:textFill>
                  <w14:solidFill>
                    <w14:schemeClr w14:val="tx1"/>
                  </w14:solidFill>
                </w14:textFill>
              </w:rPr>
              <w:t>（%），正向前沿距离法，满分1分。</w:t>
            </w:r>
          </w:p>
        </w:tc>
        <w:tc>
          <w:tcPr>
            <w:tcW w:w="1223" w:type="pct"/>
            <w:shd w:val="clear" w:color="auto" w:fill="auto"/>
            <w:vAlign w:val="center"/>
          </w:tcPr>
          <w:p>
            <w:pPr>
              <w:widowControl/>
              <w:adjustRightInd/>
              <w:spacing w:line="240" w:lineRule="auto"/>
              <w:jc w:val="left"/>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default" w:ascii="宋体" w:hAnsi="宋体" w:cs="宋体"/>
                <w:color w:val="000000" w:themeColor="text1"/>
                <w:kern w:val="0"/>
                <w:sz w:val="20"/>
                <w:szCs w:val="20"/>
                <w:lang w:val="en-US" w:eastAsia="zh-CN"/>
                <w14:textFill>
                  <w14:solidFill>
                    <w14:schemeClr w14:val="tx1"/>
                  </w14:solidFill>
                </w14:textFill>
              </w:rPr>
              <w:t>民间资本参与重大项目建设成效</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=辖区年度投资额大于5000万元的项目中民间投资个数/辖区年度投资额大于5000万元的项目总数</w:t>
            </w:r>
            <w:r>
              <w:rPr>
                <w:rFonts w:hint="eastAsia" w:ascii="宋体" w:hAnsi="宋体" w:cs="宋体"/>
                <w:color w:val="000000" w:themeColor="text1"/>
                <w:kern w:val="0"/>
                <w:sz w:val="20"/>
                <w:szCs w:val="20"/>
                <w14:textFill>
                  <w14:solidFill>
                    <w14:schemeClr w14:val="tx1"/>
                  </w14:solidFill>
                </w14:textFill>
              </w:rPr>
              <w:t>*100%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自治区发展改革委</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重大项目建设库</w:t>
            </w:r>
          </w:p>
        </w:tc>
        <w:tc>
          <w:tcPr>
            <w:tcW w:w="260" w:type="pct"/>
            <w:shd w:val="clear" w:color="auto" w:fill="auto"/>
            <w:noWrap/>
            <w:vAlign w:val="center"/>
          </w:tcPr>
          <w:p>
            <w:pPr>
              <w:keepNext w:val="0"/>
              <w:keepLines w:val="0"/>
              <w:widowControl/>
              <w:suppressLineNumbers w:val="0"/>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240" w:type="pct"/>
            <w:shd w:val="clear" w:color="auto" w:fill="auto"/>
            <w:noWrap/>
            <w:vAlign w:val="center"/>
          </w:tcPr>
          <w:p>
            <w:pPr>
              <w:keepNext w:val="0"/>
              <w:keepLines w:val="0"/>
              <w:widowControl/>
              <w:suppressLineNumbers w:val="0"/>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restar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公共服务</w:t>
            </w:r>
          </w:p>
        </w:tc>
        <w:tc>
          <w:tcPr>
            <w:tcW w:w="225" w:type="pct"/>
            <w:vMerge w:val="restart"/>
            <w:shd w:val="clear" w:color="000000" w:fill="FFFFFF"/>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获得电力</w:t>
            </w: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全口径系统平均停电时间</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SAIDI）（小时/户），负向前沿距离法计算，满分1分。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全口径系统平均停电时间</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SAIDI</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（小时/户）=市中心区+市区+城镇+农村的平均停电时间（小时/户）</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国网宁夏电力有限公司</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新一代设备资产精益管理系统</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全口径系统平均停电时间下降率（%），正向前沿距离法计算，满分1分。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全口径系统平均停电时间下降率（%）=（本年度全口径系统平均停电时间-上年度全口径系统平均停电时间）/上年度全口径系统平均停电时间*100%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国网宁夏电力有限公司</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新一代设备资产精益管理系统</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全口径系统平均停电频率（SAIFI）（次/户），负向前沿距离法计算，满分1分。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全口径系统平均停电频率（SAIFI）（次/户）=市中心区+市区+城镇+农村的平均停电时间（次/户）</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国网宁夏电力有限公司</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新一代设备资产精益管理系统</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全口径系统平均停电频率下降率（%），正向前沿距离法计算，满分1分。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全口径系统平均停电频率下降率（%）=（本年度全口径系统平均停电频率-上年度全口径系统平均停电频率）/上年度全口径系统平均停电频率*100%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国网宁夏电力有限公司</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新一代设备资产精益管理系统</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综合电压合格率（%），正向前沿距离法计算，满分1分。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综合电压合格率（%）＝[0.5*A+0.5*(B+C+D)/3]*100%（其中ABCD为四类供电电压监测点合格率）</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国网宁夏电力有限公司</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新一代设备资产精益管理系统</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故障抢修及时率（%），正向前沿距离法计算，满分1分。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故障抢修及时率（%）=时限内抢修工单数（件）/报修工单总数（件）*100%（注：“时限内抢修工单数”为报修后抢修人员按照规定时间到达故障现场的工单数）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国网宁夏电力有限公司</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新一代设备资产精益管理系统</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strike/>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低压居民、低压非居民用户报装流程2个环节内完成率达到100%，得1分。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低压居民、低压非居民用户办理环节按照受理签约、施工接电2个环节评定</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国网宁夏电力有限公司</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能源互联网营销服务系统</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10" w:lineRule="exact"/>
              <w:jc w:val="left"/>
              <w:rPr>
                <w:rFonts w:hint="eastAsia" w:ascii="宋体" w:hAnsi="宋体" w:cs="宋体"/>
                <w:strike/>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高压普通用户报装流程4个环节内完成率达到100%，得1分；高压重要电力用户报装流程6个环节内完成率达到100%，得1分。</w:t>
            </w:r>
          </w:p>
        </w:tc>
        <w:tc>
          <w:tcPr>
            <w:tcW w:w="1223"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高压普通电力用户办理环节按照业务受理、供电方案答复、竣工检验、装表接电4个环节评定；高压重要电力用户办理环节按照业务受理、供电方案答复、设计审查、中间检查、竣工检验、装表接电6个环节评定</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国网宁夏电力有限公司</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能源互联网营销服务系统</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实行“三零”服务的低压用户全过程办电时间无电力外线工程5个工作日时限达标率（%）为100%得1分，未达到不得分。</w:t>
            </w:r>
          </w:p>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涉及掘路、立杆等电力外线工程的15个工作日时限达标率（%）为100%得1分，未达到不得分。</w:t>
            </w:r>
          </w:p>
        </w:tc>
        <w:tc>
          <w:tcPr>
            <w:tcW w:w="1223"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无电力外线工程办电时限达标率（%）=无电力外线工程全过程办电时间低于5个工作日项目数（个）/无电力外线工程办电项目总数（个）*100%</w:t>
            </w:r>
          </w:p>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涉及掘路、立杆等电力外线工程办电时限达标率（%）=涉及掘路、立杆等电力外线工程办电时间低于15个工作日项目数（个）/涉及掘路、立杆等电力外线工程办电项目总数（个）*100%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国网宁夏电力有限公司</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能源互联网营销服务系统</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高压单电源用户全过程办电时间22个工作日时限达标率（%）为100%得1分，未达到不得分。</w:t>
            </w:r>
          </w:p>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高压双电源用户全过程办电时间32个工作日时限达标率（%）为100%得1分，未达到不得分。</w:t>
            </w:r>
          </w:p>
        </w:tc>
        <w:tc>
          <w:tcPr>
            <w:tcW w:w="1223"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高压单电源用户全过程办电时限达标率（%）=高压单电源用户全过程办电时间低于22个工作日项目数（个）/高压单电源用户全过程办电项目总数（个）*100%</w:t>
            </w:r>
          </w:p>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高压双电源用户全过程办电时限达标率（%）=高压双电源用户全过程办电时间低于32个工作日项目数（个）/高压双电源用户全过程办电项目总数（个）*100%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国网宁夏电力有限公司</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能源互联网营销服务系统</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低压用户用电报装成本（元），负向前沿距离法计算，满分1分。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低压用户用电报装成本（元）=低压用户办理低压业扩报装投资费用、投资互感器、施工等成本总和的平均值</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国网宁夏电力有限公司</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高压用户用电报装成本（元），负向前沿距离法计算，满分1分。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高压用户用电报装成本（元）=高压用户办理高压业扩报装投资费用、投资互感器、变压器、施工等成本总和的平均值</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国网宁夏电力有限公司</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restart"/>
            <w:shd w:val="clear" w:color="000000" w:fill="FFFFFF"/>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获得用水用气用热用网</w:t>
            </w: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已实现水气热网联合报装“一件事”事项数量（个），正向前沿距离法计算，满分1分。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供水公司、燃气公司、热力公司、网络运营商</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供水管网漏损率（%），负向前沿距离法计算，满分1分。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供水管网漏损率（%）=</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供水量-有效用水量）/供水量*100%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城市管理局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供水普及率（%），正</w:t>
            </w:r>
            <w:r>
              <w:rPr>
                <w:rFonts w:hint="eastAsia" w:ascii="宋体" w:hAnsi="宋体" w:cs="宋体"/>
                <w:color w:val="000000" w:themeColor="text1"/>
                <w:kern w:val="0"/>
                <w:sz w:val="20"/>
                <w:szCs w:val="20"/>
                <w14:textFill>
                  <w14:solidFill>
                    <w14:schemeClr w14:val="tx1"/>
                  </w14:solidFill>
                </w14:textFill>
              </w:rPr>
              <w:t>向前沿距离法计算，满分1分。</w:t>
            </w:r>
          </w:p>
        </w:tc>
        <w:tc>
          <w:tcPr>
            <w:tcW w:w="1223" w:type="pct"/>
            <w:shd w:val="clear" w:color="auto" w:fill="auto"/>
            <w:vAlign w:val="center"/>
          </w:tcPr>
          <w:p>
            <w:pPr>
              <w:widowControl/>
              <w:adjustRightInd/>
              <w:spacing w:line="320" w:lineRule="exact"/>
              <w:jc w:val="left"/>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供水普及率（%）=</w:t>
            </w:r>
            <w:r>
              <w:rPr>
                <w:rFonts w:hint="eastAsia" w:ascii="宋体" w:hAnsi="宋体" w:cs="宋体"/>
                <w:color w:val="000000" w:themeColor="text1"/>
                <w:kern w:val="0"/>
                <w:sz w:val="20"/>
                <w:szCs w:val="20"/>
                <w14:textFill>
                  <w14:solidFill>
                    <w14:schemeClr w14:val="tx1"/>
                  </w14:solidFill>
                </w14:textFill>
              </w:rPr>
              <w:t>城区用水人口</w:t>
            </w:r>
            <w:r>
              <w:rPr>
                <w:rFonts w:hint="eastAsia" w:ascii="宋体" w:hAnsi="宋体" w:cs="宋体"/>
                <w:color w:val="000000" w:themeColor="text1"/>
                <w:kern w:val="0"/>
                <w:sz w:val="20"/>
                <w:szCs w:val="20"/>
                <w:lang w:val="en-US" w:eastAsia="zh-CN"/>
                <w14:textFill>
                  <w14:solidFill>
                    <w14:schemeClr w14:val="tx1"/>
                  </w14:solidFill>
                </w14:textFill>
              </w:rPr>
              <w:t>/（城区人口+城区暂住人口）</w:t>
            </w:r>
            <w:r>
              <w:rPr>
                <w:rFonts w:hint="eastAsia" w:ascii="宋体" w:hAnsi="宋体" w:cs="宋体"/>
                <w:color w:val="000000" w:themeColor="text1"/>
                <w:kern w:val="0"/>
                <w:sz w:val="20"/>
                <w:szCs w:val="20"/>
                <w14:textFill>
                  <w14:solidFill>
                    <w14:schemeClr w14:val="tx1"/>
                  </w14:solidFill>
                </w14:textFill>
              </w:rPr>
              <w:t>*100%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供水公司</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城市家庭千兆光纤网络覆盖率（%），正向前沿距离法计算，满分1分。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城市家庭千兆光纤网络覆盖率（%)=城市地区具备千兆接入能力的端口数/城市地区家庭总数*100%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自治区通信管理局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重点场所5G网络通达率（%），正向前沿距离法计算，满分1分。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重点场所5G网络通达率（%）=城市地区已有5G信号覆盖的市属公办医院</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三级以上）、重点高校、文化旅游重点区域以及开办客运业务的火车站</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二等以上）、干线机场、重点道路等场所总数/上述场所总数*100%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自治区工业和信息化厅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智能水表覆盖率（%），正向前沿距离法计算，满分1分。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智能水表覆盖率（%）=实现物联网智能水表数量（居民+非居民+校核）/注册用户总数量*100%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供水公司</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用户平均停水时长（分钟/户），负向前沿距离法计算，满分1分。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用户平均停水时长（分钟/户）=∑（每户平均停水时长*每次停水用户数）/注册水表数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供水公司</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用户平均停水次数（次/户），负向前沿距离法计算，满分1分。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用户平均停水次数（次/户）=[∑（每次计划停水用户数）+∑（每次抢修停水用户数)]/总户数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供水公司</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计划性停气比例（%），正向前沿距离法计算，满分1分。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计划性停气比例（%）=提前48小时以上通知客户的停气次数/停气总计次数*100%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燃气公司</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按公示的时间内恢复供气比例（%），正向前沿距离法计算，满分1分。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按公示的时间内恢复供气比例（%）=按公示的时间内恢复燃气供应次数/停气总计次数*100%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自治区住房和城乡建设厅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用水、用气、用热及网络投诉平均处理时间（工作日），负向前沿距离法计算，满分1分。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用水、用气、用热及网络投诉平均处理时间（工作日）=∑（投诉办结时间-收到投诉时间）/受理投诉总数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供水公司、燃气公司、热力公司、网络运营商</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用水、用气、用热及网络投诉处理及时率（%），正向前沿距离法计算，满分1分。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用水、用气、用热及网络投诉处理及时率（%）=按时办结的投诉数量/受理的投诉总数量*100%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供水公司、燃气公司、热力公司、网络运营商</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办理有外线工程的用水、用气、用热及网络报装发生的所有环节数量（个），负向前沿距离法计算，满分1分。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分别统计用水、用气、用热及网络</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供水公司、燃气公司、热力公司、网络运营商</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办理有外线工程的用水、用气、用热及网络报装的承诺时间（工作日），负向前沿距离法计算，满分1分。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分别统计用水、用气、用热及网络</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供水公司、燃气公司、热力公司、网络运营商</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办理有外线工程的用水、用气、用热及网络报装的平均时间（工作日），负向前沿距离法计算，满分1分。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用水、用气、用热及网络报装的平均时间（工作日）=∑（通水、通气、通热、通网时间-申请受理时间）/总受理数（分别统计用水、用气、用热及网络）</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供水公司、燃气公司、热力公司、网络运营商</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val="0"/>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办理有外线工程的用水、用气、用热及网络报装发生的所有环节费用（元），负向前沿距离法计算，满分1分。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包括工程建设费用、行政事业性收费等（分别统计用水、用气、用热及网络）</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供水公司、燃气公司、热力公司、网络运营商、城市管理局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restart"/>
            <w:shd w:val="clear" w:color="000000" w:fill="FFFFFF"/>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融资服务</w:t>
            </w: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“首贷户”增长率（%），正向前沿距离法计算，满分1分。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“首贷户”增长率（%）=（本季度首贷户数-上季度首贷户数）/上季度首贷户数*100%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国家金融监督管理总局宁夏监管局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小微企业信用贷款余额占比（%），正向前沿距离法计算，满分1分。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小微企业信用贷款余额占比（%）=小微企业信用贷款余额数/小微企业贷款余额总数*100%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国家金融监督管理总局宁夏监管局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普惠型小微企业贷款增速（%），正向前沿距离法计算，满分1分。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普惠型小微企业贷款增速（%）=（本期普惠型小微企业贷款余额-年初普惠型小微企业贷款余额）/年初普惠型小微企业贷款余额*100%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国家金融监督管理总局宁夏监管局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val="0"/>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小微企业续贷累放金额占小微企业贷款累计发放金额的比重（%），正向前沿距离法计算，满分1分。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小微企业续贷累放金额占小微企业贷款累计发放金额的比重（%）=小微企业续贷累放金额/小微企业贷款累计发放金额*100%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国家金融监督管理总局宁夏监管局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val="0"/>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小微企业中长期贷款余额占比（%），正向前沿距离法计算，满分1分。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小微企业中长期贷款余额占比（%）=小微企业中长期贷款余额/小微企业总贷款余额*100%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国家金融监督管理总局宁夏监管局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val="0"/>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小微企业不良贷款率（%），小于3%得1分，大于3%不得分。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小微企业不良贷款率（%）=</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小微企业次级类贷款余额+小微企业可疑类贷款余额+小微企业损失类贷款余额）/各项贷款余额*100%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国家金融监督管理总局宁夏监管局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小微企业贷款余额占比（%），正向前沿距离法计算，满分1分。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小微企业贷款余额占比（%）=小微企业贷款余额/全部贷款余额*100%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国家金融监督管理总局宁夏监管局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制造业贷款余额占比（%），正向前沿距离法计算，满分1分。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制造业贷款余额占比（%）=制造业贷款余额/全部贷款余额*100%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国家金融监督管理总局宁夏监管局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制造业中长期贷款余额增速（%），正向前沿距离法计算，满分1分。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制造业中长期贷款余额增速（%）=</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本期制造业中长期贷款余额-上期制造业中长期贷款余额）/上期制造业中长期贷款余额*100%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国家金融监督管理总局宁夏监管局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9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支农支小再贷款余额同比增长率（%），正向前沿距离法计算，满分1分。</w:t>
            </w:r>
          </w:p>
        </w:tc>
        <w:tc>
          <w:tcPr>
            <w:tcW w:w="1223" w:type="pct"/>
            <w:shd w:val="clear" w:color="auto" w:fill="auto"/>
            <w:vAlign w:val="center"/>
          </w:tcPr>
          <w:p>
            <w:pPr>
              <w:widowControl/>
              <w:adjustRightInd/>
              <w:spacing w:line="29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支农支小再贷款余额同比增长率（%）=</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本期支农支小再贷款余额-上期支农支小再贷款余额）/上期支农支小再贷款余额*100%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人民银行宁夏</w:t>
            </w:r>
            <w:r>
              <w:rPr>
                <w:rFonts w:hint="eastAsia" w:ascii="宋体" w:hAnsi="宋体" w:cs="宋体"/>
                <w:color w:val="000000" w:themeColor="text1"/>
                <w:kern w:val="0"/>
                <w:sz w:val="20"/>
                <w:szCs w:val="20"/>
                <w:lang w:eastAsia="zh-CN"/>
                <w14:textFill>
                  <w14:solidFill>
                    <w14:schemeClr w14:val="tx1"/>
                  </w14:solidFill>
                </w14:textFill>
              </w:rPr>
              <w:t>区</w:t>
            </w:r>
            <w:r>
              <w:rPr>
                <w:rFonts w:hint="eastAsia" w:ascii="宋体" w:hAnsi="宋体" w:cs="宋体"/>
                <w:color w:val="000000" w:themeColor="text1"/>
                <w:kern w:val="0"/>
                <w:sz w:val="20"/>
                <w:szCs w:val="20"/>
                <w14:textFill>
                  <w14:solidFill>
                    <w14:schemeClr w14:val="tx1"/>
                  </w14:solidFill>
                </w14:textFill>
              </w:rPr>
              <w:t>分行</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9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银行业金融机构绿色贷款余额同比变化（%），正向前沿距离法计算，满分1分。</w:t>
            </w:r>
          </w:p>
        </w:tc>
        <w:tc>
          <w:tcPr>
            <w:tcW w:w="1223" w:type="pct"/>
            <w:shd w:val="clear" w:color="auto" w:fill="auto"/>
            <w:vAlign w:val="center"/>
          </w:tcPr>
          <w:p>
            <w:pPr>
              <w:widowControl/>
              <w:adjustRightInd/>
              <w:spacing w:line="29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银行业金融机构绿色贷款余额同比变化（%）=</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本期银行业金融机构绿色贷款余额-上期银行业金融机构绿色贷款余额）/上期银行业金融机构绿色贷款余额*100%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人民银行宁夏</w:t>
            </w:r>
            <w:r>
              <w:rPr>
                <w:rFonts w:hint="eastAsia" w:ascii="宋体" w:hAnsi="宋体" w:cs="宋体"/>
                <w:color w:val="000000" w:themeColor="text1"/>
                <w:kern w:val="0"/>
                <w:sz w:val="20"/>
                <w:szCs w:val="20"/>
                <w:lang w:eastAsia="zh-CN"/>
                <w14:textFill>
                  <w14:solidFill>
                    <w14:schemeClr w14:val="tx1"/>
                  </w14:solidFill>
                </w14:textFill>
              </w:rPr>
              <w:t>区</w:t>
            </w:r>
            <w:r>
              <w:rPr>
                <w:rFonts w:hint="eastAsia" w:ascii="宋体" w:hAnsi="宋体" w:cs="宋体"/>
                <w:color w:val="000000" w:themeColor="text1"/>
                <w:kern w:val="0"/>
                <w:sz w:val="20"/>
                <w:szCs w:val="20"/>
                <w14:textFill>
                  <w14:solidFill>
                    <w14:schemeClr w14:val="tx1"/>
                  </w14:solidFill>
                </w14:textFill>
              </w:rPr>
              <w:t>分行</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9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动产融资平台和中征应收账款融资平台融资规模增长率（%），正向前沿距离法计算，满分1分。</w:t>
            </w:r>
          </w:p>
        </w:tc>
        <w:tc>
          <w:tcPr>
            <w:tcW w:w="1223" w:type="pct"/>
            <w:shd w:val="clear" w:color="auto" w:fill="auto"/>
            <w:vAlign w:val="center"/>
          </w:tcPr>
          <w:p>
            <w:pPr>
              <w:widowControl/>
              <w:adjustRightInd/>
              <w:spacing w:line="29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动产融资统一登记公示系统和应收账款融资服务平台融资业务增长率（%)=（动产融资统一登记公示系统和应收账款融资服务平台本期发生业务规模/笔数-动产融资统一登记公示系统和应收账款融资服务平台上期发生业务规模/笔数）/动产融资统一登记公示系统和应收账款融资服务平台上期发生业务规模/笔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人民银行宁夏</w:t>
            </w:r>
            <w:r>
              <w:rPr>
                <w:rFonts w:hint="eastAsia" w:ascii="宋体" w:hAnsi="宋体" w:cs="宋体"/>
                <w:color w:val="000000" w:themeColor="text1"/>
                <w:kern w:val="0"/>
                <w:sz w:val="20"/>
                <w:szCs w:val="20"/>
                <w:lang w:eastAsia="zh-CN"/>
                <w14:textFill>
                  <w14:solidFill>
                    <w14:schemeClr w14:val="tx1"/>
                  </w14:solidFill>
                </w14:textFill>
              </w:rPr>
              <w:t>区</w:t>
            </w:r>
            <w:r>
              <w:rPr>
                <w:rFonts w:hint="eastAsia" w:ascii="宋体" w:hAnsi="宋体" w:cs="宋体"/>
                <w:color w:val="000000" w:themeColor="text1"/>
                <w:kern w:val="0"/>
                <w:sz w:val="20"/>
                <w:szCs w:val="20"/>
                <w14:textFill>
                  <w14:solidFill>
                    <w14:schemeClr w14:val="tx1"/>
                  </w14:solidFill>
                </w14:textFill>
              </w:rPr>
              <w:t>分行</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“银税互动”小微企业贷款余额占小微企业贷款余额的比重（%），正向前沿距离法计算，满分1分。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“银税互动”小微企业贷款余额占小微企业贷款余额的比重（%）=“银税互动”小微企业贷款余额数/小微企业贷款余额总数*100%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国家金融监督管理总局宁夏监管局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政府性融资担保机构担保费率（%），费率小于1%得1分，大于1%不得分。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政府性融资担保机构担保费率（%）=∑</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政府性融资担保机构当年新增单笔融资担保合同金额*该笔业务年化综合费率*年化融资担保期限）/∑</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政府性融资担保机构当年新增单笔融资担保合同金额*年化融资担保期限）*100%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国家金融监督管理总局宁夏监管局</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民营企业贷款余额占比（%），正向前沿距离法计算，满分1分。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民营企业贷款余额占比（%）</w:t>
            </w:r>
            <w:r>
              <w:rPr>
                <w:rFonts w:hint="eastAsia" w:ascii="宋体" w:hAnsi="宋体" w:cs="宋体"/>
                <w:color w:val="000000" w:themeColor="text1"/>
                <w:kern w:val="0"/>
                <w:sz w:val="20"/>
                <w:szCs w:val="20"/>
                <w:lang w:val="en-US" w:eastAsia="zh-CN"/>
                <w14:textFill>
                  <w14:solidFill>
                    <w14:schemeClr w14:val="tx1"/>
                  </w14:solidFill>
                </w14:textFill>
              </w:rPr>
              <w:t>=民营企业本年度新发放贷款余额/本年度新发放各项贷款余额*100%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人民银行宁夏</w:t>
            </w:r>
            <w:r>
              <w:rPr>
                <w:rFonts w:hint="eastAsia" w:ascii="宋体" w:hAnsi="宋体" w:cs="宋体"/>
                <w:color w:val="000000" w:themeColor="text1"/>
                <w:kern w:val="0"/>
                <w:sz w:val="20"/>
                <w:szCs w:val="20"/>
                <w:lang w:eastAsia="zh-CN"/>
                <w14:textFill>
                  <w14:solidFill>
                    <w14:schemeClr w14:val="tx1"/>
                  </w14:solidFill>
                </w14:textFill>
              </w:rPr>
              <w:t>区</w:t>
            </w:r>
            <w:r>
              <w:rPr>
                <w:rFonts w:hint="eastAsia" w:ascii="宋体" w:hAnsi="宋体" w:cs="宋体"/>
                <w:color w:val="000000" w:themeColor="text1"/>
                <w:kern w:val="0"/>
                <w:sz w:val="20"/>
                <w:szCs w:val="20"/>
                <w14:textFill>
                  <w14:solidFill>
                    <w14:schemeClr w14:val="tx1"/>
                  </w14:solidFill>
                </w14:textFill>
              </w:rPr>
              <w:t>分行</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民营企业贷款</w:t>
            </w:r>
            <w:r>
              <w:rPr>
                <w:rFonts w:hint="eastAsia" w:ascii="宋体" w:hAnsi="宋体" w:cs="宋体"/>
                <w:color w:val="000000" w:themeColor="text1"/>
                <w:kern w:val="0"/>
                <w:sz w:val="20"/>
                <w:szCs w:val="20"/>
                <w:lang w:eastAsia="zh-CN"/>
                <w14:textFill>
                  <w14:solidFill>
                    <w14:schemeClr w14:val="tx1"/>
                  </w14:solidFill>
                </w14:textFill>
              </w:rPr>
              <w:t>余额</w:t>
            </w:r>
            <w:r>
              <w:rPr>
                <w:rFonts w:hint="eastAsia" w:ascii="宋体" w:hAnsi="宋体" w:cs="宋体"/>
                <w:color w:val="000000" w:themeColor="text1"/>
                <w:kern w:val="0"/>
                <w:sz w:val="20"/>
                <w:szCs w:val="20"/>
                <w14:textFill>
                  <w14:solidFill>
                    <w14:schemeClr w14:val="tx1"/>
                  </w14:solidFill>
                </w14:textFill>
              </w:rPr>
              <w:t>增速（%），正向前沿距离法计算，满分1分。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民营企业贷款</w:t>
            </w:r>
            <w:r>
              <w:rPr>
                <w:rFonts w:hint="eastAsia" w:ascii="宋体" w:hAnsi="宋体" w:cs="宋体"/>
                <w:color w:val="000000" w:themeColor="text1"/>
                <w:kern w:val="0"/>
                <w:sz w:val="20"/>
                <w:szCs w:val="20"/>
                <w:lang w:eastAsia="zh-CN"/>
                <w14:textFill>
                  <w14:solidFill>
                    <w14:schemeClr w14:val="tx1"/>
                  </w14:solidFill>
                </w14:textFill>
              </w:rPr>
              <w:t>余额</w:t>
            </w:r>
            <w:r>
              <w:rPr>
                <w:rFonts w:hint="eastAsia" w:ascii="宋体" w:hAnsi="宋体" w:cs="宋体"/>
                <w:color w:val="000000" w:themeColor="text1"/>
                <w:kern w:val="0"/>
                <w:sz w:val="20"/>
                <w:szCs w:val="20"/>
                <w14:textFill>
                  <w14:solidFill>
                    <w14:schemeClr w14:val="tx1"/>
                  </w14:solidFill>
                </w14:textFill>
              </w:rPr>
              <w:t>增速（%）=（本期民营企业贷款余额-年初民营企业贷款余额）/年初民营企业贷款余额*100%</w:t>
            </w:r>
          </w:p>
        </w:tc>
        <w:tc>
          <w:tcPr>
            <w:tcW w:w="622" w:type="pct"/>
            <w:shd w:val="clear" w:color="auto" w:fill="auto"/>
            <w:vAlign w:val="center"/>
          </w:tcPr>
          <w:p>
            <w:pPr>
              <w:widowControl/>
              <w:adjustRightInd/>
              <w:spacing w:line="240" w:lineRule="auto"/>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人民银行宁夏</w:t>
            </w:r>
            <w:r>
              <w:rPr>
                <w:rFonts w:hint="eastAsia" w:ascii="宋体" w:hAnsi="宋体" w:cs="宋体"/>
                <w:color w:val="000000" w:themeColor="text1"/>
                <w:kern w:val="0"/>
                <w:sz w:val="20"/>
                <w:szCs w:val="20"/>
                <w:lang w:eastAsia="zh-CN"/>
                <w14:textFill>
                  <w14:solidFill>
                    <w14:schemeClr w14:val="tx1"/>
                  </w14:solidFill>
                </w14:textFill>
              </w:rPr>
              <w:t>区</w:t>
            </w:r>
            <w:r>
              <w:rPr>
                <w:rFonts w:hint="eastAsia" w:ascii="宋体" w:hAnsi="宋体" w:cs="宋体"/>
                <w:color w:val="000000" w:themeColor="text1"/>
                <w:kern w:val="0"/>
                <w:sz w:val="20"/>
                <w:szCs w:val="20"/>
                <w14:textFill>
                  <w14:solidFill>
                    <w14:schemeClr w14:val="tx1"/>
                  </w14:solidFill>
                </w14:textFill>
              </w:rPr>
              <w:t>分行</w:t>
            </w:r>
          </w:p>
        </w:tc>
        <w:tc>
          <w:tcPr>
            <w:tcW w:w="382" w:type="pct"/>
            <w:shd w:val="clear" w:color="auto" w:fill="auto"/>
            <w:vAlign w:val="center"/>
          </w:tcPr>
          <w:p>
            <w:pPr>
              <w:widowControl/>
              <w:adjustRightInd/>
              <w:spacing w:line="240" w:lineRule="auto"/>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民营企业无还本续贷金额</w:t>
            </w:r>
            <w:r>
              <w:rPr>
                <w:rFonts w:hint="eastAsia" w:ascii="宋体" w:hAnsi="宋体" w:cs="宋体"/>
                <w:color w:val="000000" w:themeColor="text1"/>
                <w:kern w:val="0"/>
                <w:sz w:val="20"/>
                <w:szCs w:val="20"/>
                <w:lang w:val="en-US" w:eastAsia="zh-CN"/>
                <w14:textFill>
                  <w14:solidFill>
                    <w14:schemeClr w14:val="tx1"/>
                  </w14:solidFill>
                </w14:textFill>
              </w:rPr>
              <w:t>占比</w:t>
            </w:r>
            <w:r>
              <w:rPr>
                <w:rFonts w:hint="eastAsia" w:ascii="宋体" w:hAnsi="宋体" w:cs="宋体"/>
                <w:color w:val="000000" w:themeColor="text1"/>
                <w:kern w:val="0"/>
                <w:sz w:val="20"/>
                <w:szCs w:val="20"/>
                <w14:textFill>
                  <w14:solidFill>
                    <w14:schemeClr w14:val="tx1"/>
                  </w14:solidFill>
                </w14:textFill>
              </w:rPr>
              <w:t>（%），正向前沿距离法计算，满分1分。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民营企业无还本续贷金额</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占比=民营企业无还本续贷累放金额/民营企业贷款累计发放金额*100%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人民银行宁夏</w:t>
            </w:r>
            <w:r>
              <w:rPr>
                <w:rFonts w:hint="eastAsia" w:ascii="宋体" w:hAnsi="宋体" w:cs="宋体"/>
                <w:color w:val="000000" w:themeColor="text1"/>
                <w:kern w:val="0"/>
                <w:sz w:val="20"/>
                <w:szCs w:val="20"/>
                <w:lang w:eastAsia="zh-CN"/>
                <w14:textFill>
                  <w14:solidFill>
                    <w14:schemeClr w14:val="tx1"/>
                  </w14:solidFill>
                </w14:textFill>
              </w:rPr>
              <w:t>区</w:t>
            </w:r>
            <w:r>
              <w:rPr>
                <w:rFonts w:hint="eastAsia" w:ascii="宋体" w:hAnsi="宋体" w:cs="宋体"/>
                <w:color w:val="000000" w:themeColor="text1"/>
                <w:kern w:val="0"/>
                <w:sz w:val="20"/>
                <w:szCs w:val="20"/>
                <w14:textFill>
                  <w14:solidFill>
                    <w14:schemeClr w14:val="tx1"/>
                  </w14:solidFill>
                </w14:textFill>
              </w:rPr>
              <w:t>分行</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通过</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"https://www.nxjfpt.gov.cn/" \l "/" \t "C:/home/jrj/Documents\x/_blank"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sz w:val="20"/>
                <w:szCs w:val="20"/>
                <w14:textFill>
                  <w14:solidFill>
                    <w14:schemeClr w14:val="tx1"/>
                  </w14:solidFill>
                </w14:textFill>
              </w:rPr>
              <w:t>宁夏中小企业融资综合信用服务平台</w:t>
            </w:r>
            <w:r>
              <w:rPr>
                <w:rFonts w:hint="eastAsia" w:ascii="宋体" w:hAnsi="宋体" w:cs="宋体"/>
                <w:color w:val="000000" w:themeColor="text1"/>
                <w:kern w:val="0"/>
                <w:sz w:val="20"/>
                <w:szCs w:val="20"/>
                <w14:textFill>
                  <w14:solidFill>
                    <w14:schemeClr w14:val="tx1"/>
                  </w14:solidFill>
                </w14:textFill>
              </w:rPr>
              <w:fldChar w:fldCharType="end"/>
            </w:r>
            <w:r>
              <w:rPr>
                <w:rFonts w:hint="eastAsia" w:ascii="宋体" w:hAnsi="宋体" w:cs="宋体"/>
                <w:color w:val="000000" w:themeColor="text1"/>
                <w:kern w:val="0"/>
                <w:sz w:val="20"/>
                <w:szCs w:val="20"/>
                <w:lang w:bidi="ar"/>
                <w14:textFill>
                  <w14:solidFill>
                    <w14:schemeClr w14:val="tx1"/>
                  </w14:solidFill>
                </w14:textFill>
              </w:rPr>
              <w:t>获得贷款的实际解决融资需求率（%），正向前沿距离法计算，满分1分。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企业通过平台获得贷款的实际解决融资需求率（%）=企业通过平台获得的贷款金额/企业在平台上申报的融资需求金额*100%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自治区党委金融办</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restart"/>
            <w:shd w:val="clear" w:color="000000" w:fill="FFFFFF"/>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人力资源</w:t>
            </w:r>
          </w:p>
        </w:tc>
        <w:tc>
          <w:tcPr>
            <w:tcW w:w="1384" w:type="pct"/>
            <w:shd w:val="clear" w:color="auto" w:fill="auto"/>
            <w:vAlign w:val="center"/>
          </w:tcPr>
          <w:p>
            <w:pPr>
              <w:widowControl/>
              <w:adjustRightInd/>
              <w:spacing w:line="320" w:lineRule="exact"/>
              <w:jc w:val="left"/>
              <w:rPr>
                <w:rFonts w:hint="eastAsia" w:ascii="宋体" w:hAnsi="宋体" w:cs="宋体"/>
                <w:strike/>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劳动人事争议仲裁结案率（%），达到90%以上得1分，每少5%减0.2分。</w:t>
            </w:r>
          </w:p>
        </w:tc>
        <w:tc>
          <w:tcPr>
            <w:tcW w:w="1223" w:type="pct"/>
            <w:shd w:val="clear" w:color="auto" w:fill="auto"/>
            <w:vAlign w:val="center"/>
          </w:tcPr>
          <w:p>
            <w:pPr>
              <w:widowControl/>
              <w:adjustRightInd/>
              <w:spacing w:line="320" w:lineRule="exact"/>
              <w:jc w:val="left"/>
              <w:rPr>
                <w:rFonts w:hint="eastAsia" w:ascii="宋体" w:hAnsi="宋体" w:cs="宋体"/>
                <w:strike/>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300" w:lineRule="exact"/>
              <w:jc w:val="center"/>
              <w:rPr>
                <w:rFonts w:hint="eastAsia" w:ascii="宋体" w:hAnsi="宋体" w:cs="宋体"/>
                <w:strike/>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人力资源和社会保障局</w:t>
            </w:r>
          </w:p>
        </w:tc>
        <w:tc>
          <w:tcPr>
            <w:tcW w:w="382" w:type="pct"/>
            <w:shd w:val="clear" w:color="auto" w:fill="auto"/>
            <w:vAlign w:val="center"/>
          </w:tcPr>
          <w:p>
            <w:pPr>
              <w:widowControl/>
              <w:adjustRightInd/>
              <w:spacing w:line="300" w:lineRule="exact"/>
              <w:jc w:val="center"/>
              <w:rPr>
                <w:rFonts w:hint="eastAsia" w:ascii="宋体" w:hAnsi="宋体" w:cs="宋体"/>
                <w:strike/>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300" w:lineRule="exact"/>
              <w:jc w:val="center"/>
              <w:rPr>
                <w:rFonts w:hint="eastAsia" w:ascii="宋体" w:hAnsi="宋体" w:cs="宋体"/>
                <w:strike/>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300" w:lineRule="exact"/>
              <w:jc w:val="center"/>
              <w:rPr>
                <w:rFonts w:hint="eastAsia" w:ascii="宋体" w:hAnsi="宋体" w:cs="宋体"/>
                <w:strike/>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300" w:lineRule="exact"/>
              <w:jc w:val="center"/>
              <w:rPr>
                <w:rFonts w:hint="eastAsia" w:ascii="宋体" w:hAnsi="宋体" w:cs="宋体"/>
                <w:strike/>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劳动人事争议调解成功率（%），达到60%以上得1分，每少5%减0.2分。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人力资源和社会保障局</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劳动保障监察举报投诉案件结案率（%），正向前沿距离法计算，满分1分。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自治区人力资源和社会保障厅</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农民工工资争议案件速裁庭办理率（%），正向前沿距离法计算，满分1分。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农民工工资争议案件速裁庭办理率（%）=本地区农民工工资争议案件速裁庭办理数量（件）/农民工工资争议案件受理总量（件）*100%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人力资源和社会保障局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val="0"/>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开展推进高校毕业生、农民工、长期失业人员、残疾人、就业困难人员等重点群体就业活动次数（次），正向前沿距离法计算，满分1分。</w:t>
            </w:r>
          </w:p>
        </w:tc>
        <w:tc>
          <w:tcPr>
            <w:tcW w:w="1223"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人力资源和社会保障局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每万人拥有经营性人力资源服务机构数量（个），正向前沿距离法计算，满分1分。</w:t>
            </w:r>
          </w:p>
        </w:tc>
        <w:tc>
          <w:tcPr>
            <w:tcW w:w="1223"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人力资源和社会保障局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线上电子劳动合同签订数量占本辖区劳动者数量比例（%），正向前沿距离法计算，满分1分。</w:t>
            </w:r>
          </w:p>
        </w:tc>
        <w:tc>
          <w:tcPr>
            <w:tcW w:w="1223"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vertAlign w:val="subscript"/>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线上电子劳动合同签订数量占本辖区劳动者数量比例（%）=线上电子劳动合同签订数量/本辖区劳动者数量*100%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自治区人力资源和社会保障厅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由政府主导建设、规范化的劳务市场或零工市场每万人拥有量（个）（16-60岁之间的劳动年龄人口），正向前沿距离法计算，满分1分。</w:t>
            </w:r>
          </w:p>
        </w:tc>
        <w:tc>
          <w:tcPr>
            <w:tcW w:w="1223"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人力资源和社会保障局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经备案的企业职业技能等级认定机构数（家），正向前沿距离法计算，满分1分。</w:t>
            </w:r>
          </w:p>
        </w:tc>
        <w:tc>
          <w:tcPr>
            <w:tcW w:w="1223"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自治区人力资源和社会保障厅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国家级、省级高技能人才培训基地（家），正向前沿距离法计算，满分1分。</w:t>
            </w:r>
          </w:p>
        </w:tc>
        <w:tc>
          <w:tcPr>
            <w:tcW w:w="1223"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自治区人力资源和社会保障厅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国家级、省级技能大师工作室数量（家），正向前沿距离法计算，满分1分。</w:t>
            </w:r>
          </w:p>
        </w:tc>
        <w:tc>
          <w:tcPr>
            <w:tcW w:w="1223" w:type="pct"/>
            <w:shd w:val="clear" w:color="auto" w:fill="auto"/>
            <w:vAlign w:val="center"/>
          </w:tcPr>
          <w:p>
            <w:pPr>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自治区人力资源和社会保障厅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Ansi="宋体" w:cs="宋体"/>
                <w:color w:val="000000" w:themeColor="text1"/>
                <w:kern w:val="0"/>
                <w:sz w:val="20"/>
                <w:szCs w:val="20"/>
                <w14:textFill>
                  <w14:solidFill>
                    <w14:schemeClr w14:val="tx1"/>
                  </w14:solidFill>
                </w14:textFill>
              </w:rPr>
              <w:t>技能人才占就业人口的比重</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%），正向前沿距离法，满分1分。</w:t>
            </w:r>
          </w:p>
        </w:tc>
        <w:tc>
          <w:tcPr>
            <w:tcW w:w="1223" w:type="pct"/>
            <w:shd w:val="clear" w:color="auto" w:fill="auto"/>
            <w:vAlign w:val="center"/>
          </w:tcPr>
          <w:p>
            <w:pPr>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技能人才占就业人口的比重</w:t>
            </w:r>
            <w:r>
              <w:rPr>
                <w:rFonts w:hint="eastAsia" w:ascii="宋体" w:hAnsi="宋体" w:cs="宋体"/>
                <w:color w:val="000000" w:themeColor="text1"/>
                <w:kern w:val="0"/>
                <w:sz w:val="20"/>
                <w:szCs w:val="20"/>
                <w14:textFill>
                  <w14:solidFill>
                    <w14:schemeClr w14:val="tx1"/>
                  </w14:solidFill>
                </w14:textFill>
              </w:rPr>
              <w:t>（%）</w:t>
            </w:r>
            <w:r>
              <w:rPr>
                <w:rFonts w:ascii="宋体" w:hAnsi="宋体" w:cs="宋体"/>
                <w:color w:val="000000" w:themeColor="text1"/>
                <w:kern w:val="0"/>
                <w:sz w:val="20"/>
                <w:szCs w:val="20"/>
                <w14:textFill>
                  <w14:solidFill>
                    <w14:schemeClr w14:val="tx1"/>
                  </w14:solidFill>
                </w14:textFill>
              </w:rPr>
              <w:t>=本地区技能人才数（人）/本地区就业人口总数（人）*100%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自治区人力资源和社会保障厅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专业技术人才同比增长率</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%），正向前沿距离法，满分1分。</w:t>
            </w:r>
          </w:p>
        </w:tc>
        <w:tc>
          <w:tcPr>
            <w:tcW w:w="1223" w:type="pct"/>
            <w:shd w:val="clear" w:color="auto" w:fill="auto"/>
            <w:vAlign w:val="center"/>
          </w:tcPr>
          <w:p>
            <w:pPr>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专业技术人才同比增长率</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%）=[上年度专业技术人才（人）-上上年度专业技术人才（人）]/上上年度专业技术人才（人）*100%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自治区人力资源和社会保障厅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社保业务网办率（%），正向前沿距离法计算，满分1分。</w:t>
            </w:r>
          </w:p>
        </w:tc>
        <w:tc>
          <w:tcPr>
            <w:tcW w:w="1223" w:type="pct"/>
            <w:shd w:val="clear" w:color="auto" w:fill="auto"/>
            <w:vAlign w:val="center"/>
          </w:tcPr>
          <w:p>
            <w:pPr>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社保业务网办率（%）=∑[社保业务网上办办件量（件）+社保业务掌上办办件量（件）+社保业务自助办办件量（件）]/所有社保业务办件量（件）*100%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自治区人力资源和社会保障厅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失业保险金申领时限超时业务比例（%），负向前沿距离法，满分1分。</w:t>
            </w:r>
          </w:p>
        </w:tc>
        <w:tc>
          <w:tcPr>
            <w:tcW w:w="1223" w:type="pct"/>
            <w:shd w:val="clear" w:color="auto" w:fill="auto"/>
            <w:vAlign w:val="center"/>
          </w:tcPr>
          <w:p>
            <w:pPr>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失业保险金申领时限超时业务比例（%）=失业保险金申领时限大于10个工作日的业务笔数/业务总笔数*100%（失业保险金申领时限=失业保险金办结时间-失业保险金受理时间）</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自治区人力资源和社会保障厅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val="0"/>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restart"/>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创新创业</w:t>
            </w:r>
          </w:p>
        </w:tc>
        <w:tc>
          <w:tcPr>
            <w:tcW w:w="1384" w:type="pct"/>
            <w:shd w:val="clear" w:color="auto" w:fill="auto"/>
            <w:vAlign w:val="center"/>
          </w:tcPr>
          <w:p>
            <w:pPr>
              <w:keepNext/>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高新技术企业同比增长率（%），正向前沿距离法计算，满分1分。</w:t>
            </w:r>
          </w:p>
        </w:tc>
        <w:tc>
          <w:tcPr>
            <w:tcW w:w="1223" w:type="pct"/>
            <w:shd w:val="clear" w:color="auto" w:fill="auto"/>
            <w:vAlign w:val="center"/>
          </w:tcPr>
          <w:p>
            <w:pPr>
              <w:keepNext/>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高新技术企业同比增长率（%）=[本地区本年度高新技术企业数（家）-本地区上一年度高新技术企业数（家）]/本地区上一年度高新技术企业数（家）*100%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自治区科学技术厅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科技型中小企业同比增长率（%），正向前沿距离法计算，满分1分。</w:t>
            </w:r>
          </w:p>
        </w:tc>
        <w:tc>
          <w:tcPr>
            <w:tcW w:w="1223" w:type="pct"/>
            <w:shd w:val="clear" w:color="auto" w:fill="auto"/>
            <w:vAlign w:val="center"/>
          </w:tcPr>
          <w:p>
            <w:pPr>
              <w:keepNext/>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科技型中小企业同比增长率（%）=[本地区本年度科技型中小企业数（家）-本地区上一年度科技型中小企业数（家）]/本地区上一年度科技型中小企业数（家）*100%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自治区科学技术厅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省级及以上小型微型企业创业创新示范基地累计数（家），正向前沿距离法计算，满分1分。</w:t>
            </w:r>
          </w:p>
        </w:tc>
        <w:tc>
          <w:tcPr>
            <w:tcW w:w="1223"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9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自治区工业和信息化厅</w:t>
            </w:r>
          </w:p>
        </w:tc>
        <w:tc>
          <w:tcPr>
            <w:tcW w:w="382" w:type="pct"/>
            <w:shd w:val="clear" w:color="auto" w:fill="auto"/>
            <w:vAlign w:val="center"/>
          </w:tcPr>
          <w:p>
            <w:pPr>
              <w:widowControl/>
              <w:adjustRightInd/>
              <w:spacing w:line="29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9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9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9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省级及以上中小企业公共服务示范平台数（家），正向前沿距离法计算，满分1分。</w:t>
            </w:r>
          </w:p>
        </w:tc>
        <w:tc>
          <w:tcPr>
            <w:tcW w:w="1223"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9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自治区工业和信息化厅</w:t>
            </w:r>
          </w:p>
        </w:tc>
        <w:tc>
          <w:tcPr>
            <w:tcW w:w="382" w:type="pct"/>
            <w:shd w:val="clear" w:color="auto" w:fill="auto"/>
            <w:vAlign w:val="center"/>
          </w:tcPr>
          <w:p>
            <w:pPr>
              <w:widowControl/>
              <w:adjustRightInd/>
              <w:spacing w:line="29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9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9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9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研究与试验发展（R&amp;D）经费投入强度（%），正向前沿距离法计算，满分1分。</w:t>
            </w:r>
          </w:p>
        </w:tc>
        <w:tc>
          <w:tcPr>
            <w:tcW w:w="1223"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研究与试验发展（R&amp;D）经费投入强度（%）=科学研究与试验发展（R&amp;D）经费投入总量（亿元）/生产总值（亿元）*100%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自治区统计局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民营企业科技创新成果占</w:t>
            </w:r>
            <w:r>
              <w:rPr>
                <w:rFonts w:hint="eastAsia" w:ascii="宋体" w:hAnsi="宋体" w:cs="宋体"/>
                <w:color w:val="000000" w:themeColor="text1"/>
                <w:kern w:val="0"/>
                <w:sz w:val="20"/>
                <w:szCs w:val="20"/>
                <w:lang w:val="en-US" w:eastAsia="zh-CN"/>
                <w14:textFill>
                  <w14:solidFill>
                    <w14:schemeClr w14:val="tx1"/>
                  </w14:solidFill>
                </w14:textFill>
              </w:rPr>
              <w:t>比</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正向前沿距离法计算，</w:t>
            </w:r>
            <w:r>
              <w:rPr>
                <w:rFonts w:hint="eastAsia" w:ascii="宋体" w:hAnsi="宋体" w:cs="宋体"/>
                <w:color w:val="000000" w:themeColor="text1"/>
                <w:kern w:val="0"/>
                <w:sz w:val="20"/>
                <w:szCs w:val="20"/>
                <w:lang w:eastAsia="zh-CN"/>
                <w14:textFill>
                  <w14:solidFill>
                    <w14:schemeClr w14:val="tx1"/>
                  </w14:solidFill>
                </w14:textFill>
              </w:rPr>
              <w:t>满分</w:t>
            </w:r>
            <w:r>
              <w:rPr>
                <w:rFonts w:hint="eastAsia" w:ascii="宋体" w:hAnsi="宋体" w:cs="宋体"/>
                <w:color w:val="000000" w:themeColor="text1"/>
                <w:kern w:val="0"/>
                <w:sz w:val="20"/>
                <w:szCs w:val="20"/>
                <w:lang w:val="en-US" w:eastAsia="zh-CN"/>
                <w14:textFill>
                  <w14:solidFill>
                    <w14:schemeClr w14:val="tx1"/>
                  </w14:solidFill>
                </w14:textFill>
              </w:rPr>
              <w:t>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民营企业科技创新成果占</w:t>
            </w:r>
            <w:r>
              <w:rPr>
                <w:rFonts w:hint="eastAsia" w:ascii="宋体" w:hAnsi="宋体" w:cs="宋体"/>
                <w:color w:val="000000" w:themeColor="text1"/>
                <w:kern w:val="0"/>
                <w:sz w:val="20"/>
                <w:szCs w:val="20"/>
                <w:lang w:val="en-US" w:eastAsia="zh-CN"/>
                <w14:textFill>
                  <w14:solidFill>
                    <w14:schemeClr w14:val="tx1"/>
                  </w14:solidFill>
                </w14:textFill>
              </w:rPr>
              <w:t>比</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w:t>
            </w:r>
            <w:r>
              <w:rPr>
                <w:rFonts w:hint="eastAsia" w:ascii="宋体" w:hAnsi="宋体" w:cs="宋体"/>
                <w:color w:val="000000" w:themeColor="text1"/>
                <w:kern w:val="0"/>
                <w:sz w:val="20"/>
                <w:szCs w:val="20"/>
                <w:lang w:eastAsia="zh-CN"/>
                <w14:textFill>
                  <w14:solidFill>
                    <w14:schemeClr w14:val="tx1"/>
                  </w14:solidFill>
                </w14:textFill>
              </w:rPr>
              <w:t>民营企业科技创新成果数量</w:t>
            </w:r>
            <w:r>
              <w:rPr>
                <w:rFonts w:hint="eastAsia" w:ascii="宋体" w:hAnsi="宋体" w:cs="宋体"/>
                <w:color w:val="000000" w:themeColor="text1"/>
                <w:kern w:val="0"/>
                <w:sz w:val="20"/>
                <w:szCs w:val="20"/>
                <w:lang w:val="en-US" w:eastAsia="zh-CN"/>
                <w14:textFill>
                  <w14:solidFill>
                    <w14:schemeClr w14:val="tx1"/>
                  </w14:solidFill>
                </w14:textFill>
              </w:rPr>
              <w:t>/地区科技创新成果总数量*100%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自治区科学技术厅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10" w:lineRule="exact"/>
              <w:jc w:val="left"/>
              <w:rPr>
                <w:rFonts w:hint="eastAsia" w:ascii="宋体" w:hAnsi="宋体" w:cs="宋体"/>
                <w:color w:val="000000" w:themeColor="text1"/>
                <w:kern w:val="0"/>
                <w:sz w:val="20"/>
                <w:szCs w:val="20"/>
                <w14:textFill>
                  <w14:solidFill>
                    <w14:schemeClr w14:val="tx1"/>
                  </w14:solidFill>
                </w14:textFill>
              </w:rPr>
            </w:pPr>
            <w:r>
              <w:rPr>
                <w:rFonts w:hint="default" w:ascii="宋体" w:hAnsi="宋体" w:cs="宋体"/>
                <w:color w:val="000000" w:themeColor="text1"/>
                <w:kern w:val="0"/>
                <w:sz w:val="20"/>
                <w:szCs w:val="20"/>
                <w:lang w:val="en-US" w:eastAsia="zh-CN"/>
                <w14:textFill>
                  <w14:solidFill>
                    <w14:schemeClr w14:val="tx1"/>
                  </w14:solidFill>
                </w14:textFill>
              </w:rPr>
              <w:t>民营企业科技创新投入占当地R&amp;D投入比重</w:t>
            </w:r>
            <w:r>
              <w:rPr>
                <w:rFonts w:hint="eastAsia" w:ascii="宋体" w:hAnsi="宋体" w:cs="宋体"/>
                <w:color w:val="000000" w:themeColor="text1"/>
                <w:kern w:val="0"/>
                <w:sz w:val="20"/>
                <w:szCs w:val="20"/>
                <w14:textFill>
                  <w14:solidFill>
                    <w14:schemeClr w14:val="tx1"/>
                  </w14:solidFill>
                </w14:textFill>
              </w:rPr>
              <w:t>（%），正向前沿距离法计算，满分1分。</w:t>
            </w:r>
          </w:p>
        </w:tc>
        <w:tc>
          <w:tcPr>
            <w:tcW w:w="1223" w:type="pct"/>
            <w:shd w:val="clear" w:color="auto" w:fill="auto"/>
            <w:vAlign w:val="center"/>
          </w:tcPr>
          <w:p>
            <w:pPr>
              <w:widowControl/>
              <w:adjustRightInd/>
              <w:spacing w:line="310" w:lineRule="exact"/>
              <w:jc w:val="left"/>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default" w:ascii="宋体" w:hAnsi="宋体" w:cs="宋体"/>
                <w:color w:val="000000" w:themeColor="text1"/>
                <w:kern w:val="0"/>
                <w:sz w:val="20"/>
                <w:szCs w:val="20"/>
                <w:lang w:val="en-US" w:eastAsia="zh-CN"/>
                <w14:textFill>
                  <w14:solidFill>
                    <w14:schemeClr w14:val="tx1"/>
                  </w14:solidFill>
                </w14:textFill>
              </w:rPr>
              <w:t>民营企业科技创新投入占当地R&amp;D投入比重</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w:t>
            </w:r>
            <w:r>
              <w:rPr>
                <w:rFonts w:hint="default" w:ascii="宋体" w:hAnsi="宋体" w:cs="宋体"/>
                <w:color w:val="000000" w:themeColor="text1"/>
                <w:kern w:val="0"/>
                <w:sz w:val="20"/>
                <w:szCs w:val="20"/>
                <w:lang w:val="en-US" w:eastAsia="zh-CN"/>
                <w14:textFill>
                  <w14:solidFill>
                    <w14:schemeClr w14:val="tx1"/>
                  </w14:solidFill>
                </w14:textFill>
              </w:rPr>
              <w:t>民营企业科技创新投入</w:t>
            </w:r>
            <w:r>
              <w:rPr>
                <w:rFonts w:hint="eastAsia" w:ascii="宋体" w:hAnsi="宋体" w:cs="宋体"/>
                <w:color w:val="000000" w:themeColor="text1"/>
                <w:kern w:val="0"/>
                <w:sz w:val="20"/>
                <w:szCs w:val="20"/>
                <w14:textFill>
                  <w14:solidFill>
                    <w14:schemeClr w14:val="tx1"/>
                  </w14:solidFill>
                </w14:textFill>
              </w:rPr>
              <w:t>总量</w:t>
            </w:r>
            <w:r>
              <w:rPr>
                <w:rFonts w:hint="eastAsia" w:ascii="宋体" w:hAnsi="宋体" w:cs="宋体"/>
                <w:color w:val="000000" w:themeColor="text1"/>
                <w:kern w:val="0"/>
                <w:sz w:val="20"/>
                <w:szCs w:val="20"/>
                <w:lang w:val="en-US" w:eastAsia="zh-CN"/>
                <w14:textFill>
                  <w14:solidFill>
                    <w14:schemeClr w14:val="tx1"/>
                  </w14:solidFill>
                </w14:textFill>
              </w:rPr>
              <w:t>/当地</w:t>
            </w:r>
            <w:r>
              <w:rPr>
                <w:rFonts w:hint="eastAsia" w:ascii="宋体" w:hAnsi="宋体" w:cs="宋体"/>
                <w:color w:val="000000" w:themeColor="text1"/>
                <w:kern w:val="0"/>
                <w:sz w:val="20"/>
                <w:szCs w:val="20"/>
                <w14:textFill>
                  <w14:solidFill>
                    <w14:schemeClr w14:val="tx1"/>
                  </w14:solidFill>
                </w14:textFill>
              </w:rPr>
              <w:t>R&amp;D投入*100%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自治区科学技术厅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企业享受研发费用加计扣除减免税额同比增长率（%），正向前沿距离法计算，满分1分。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企业享受研发费用加计扣除减免税额同比增长率（%）=（本年度享受研发费用加计扣除减免税额-上年度享受研发费用加计扣除减免税额）/上年度享受研发费用加计扣除减免税额*100%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国家税务总局宁夏回族自治区税务局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创业担保贷款发放额同比增长率（%），正向前沿距离法计算，满分1分。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创业担保贷款发放额同比增长率（%）=（本年度创业担保贷款发放额-上年度创业担保贷款发放额）/上年度创业担保贷款发放额*100%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自治区人力资源和社会保障厅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本地区数字经济规模占地区生产总值比重（%），正向前沿距离法计算，满分1分。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本地区数字经济规模占地区生产总值比重（%）=本地区数字经济规模总值/本地区生产总值*100%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自治区数据中心</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民营经济增加值增长率（%），正向前沿距离法计算，满分1分。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民营经济增加值增长率（%）</w:t>
            </w:r>
            <w:r>
              <w:rPr>
                <w:rFonts w:hint="eastAsia" w:ascii="宋体" w:hAnsi="宋体" w:cs="宋体"/>
                <w:color w:val="000000" w:themeColor="text1"/>
                <w:kern w:val="0"/>
                <w:sz w:val="20"/>
                <w:szCs w:val="20"/>
                <w:lang w:val="en-US" w:eastAsia="zh-CN"/>
                <w14:textFill>
                  <w14:solidFill>
                    <w14:schemeClr w14:val="tx1"/>
                  </w14:solidFill>
                </w14:textFill>
              </w:rPr>
              <w:t>=（当年民营经济增加值-上年民营经济增加值）</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上年民营经济增加值</w:t>
            </w:r>
            <w:r>
              <w:rPr>
                <w:rFonts w:hint="eastAsia" w:ascii="宋体" w:hAnsi="宋体" w:cs="宋体"/>
                <w:color w:val="000000" w:themeColor="text1"/>
                <w:kern w:val="0"/>
                <w:sz w:val="20"/>
                <w:szCs w:val="20"/>
                <w14:textFill>
                  <w14:solidFill>
                    <w14:schemeClr w14:val="tx1"/>
                  </w14:solidFill>
                </w14:textFill>
              </w:rPr>
              <w:t>*100%</w:t>
            </w:r>
          </w:p>
        </w:tc>
        <w:tc>
          <w:tcPr>
            <w:tcW w:w="622" w:type="pct"/>
            <w:shd w:val="clear" w:color="auto" w:fill="auto"/>
            <w:vAlign w:val="center"/>
          </w:tcPr>
          <w:p>
            <w:pPr>
              <w:keepNext/>
              <w:keepLines w:val="0"/>
              <w:pageBreakBefore w:val="0"/>
              <w:widowControl/>
              <w:kinsoku/>
              <w:wordWrap/>
              <w:overflowPunct/>
              <w:topLinePunct w:val="0"/>
              <w:bidi w:val="0"/>
              <w:adjustRightInd/>
              <w:snapToGrid/>
              <w:spacing w:line="240" w:lineRule="auto"/>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自治区</w:t>
            </w:r>
            <w:r>
              <w:rPr>
                <w:rFonts w:hint="eastAsia" w:ascii="宋体" w:hAnsi="宋体" w:cs="宋体"/>
                <w:color w:val="000000" w:themeColor="text1"/>
                <w:kern w:val="0"/>
                <w:sz w:val="20"/>
                <w:szCs w:val="20"/>
                <w:highlight w:val="none"/>
                <w:lang w:eastAsia="zh-CN"/>
                <w14:textFill>
                  <w14:solidFill>
                    <w14:schemeClr w14:val="tx1"/>
                  </w14:solidFill>
                </w14:textFill>
              </w:rPr>
              <w:t>统计局</w:t>
            </w:r>
          </w:p>
        </w:tc>
        <w:tc>
          <w:tcPr>
            <w:tcW w:w="382" w:type="pct"/>
            <w:shd w:val="clear" w:color="auto" w:fill="auto"/>
            <w:vAlign w:val="center"/>
          </w:tcPr>
          <w:p>
            <w:pPr>
              <w:keepNext/>
              <w:keepLines w:val="0"/>
              <w:pageBreakBefore w:val="0"/>
              <w:widowControl/>
              <w:kinsoku/>
              <w:wordWrap/>
              <w:overflowPunct/>
              <w:topLinePunct w:val="0"/>
              <w:bidi w:val="0"/>
              <w:adjustRightInd/>
              <w:snapToGrid/>
              <w:spacing w:line="240" w:lineRule="auto"/>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民营经济增加值</w:t>
            </w:r>
            <w:r>
              <w:rPr>
                <w:rFonts w:hint="eastAsia" w:ascii="宋体" w:hAnsi="宋体" w:cs="宋体"/>
                <w:color w:val="000000" w:themeColor="text1"/>
                <w:kern w:val="0"/>
                <w:sz w:val="20"/>
                <w:szCs w:val="20"/>
                <w:lang w:val="en-US" w:eastAsia="zh-CN"/>
                <w14:textFill>
                  <w14:solidFill>
                    <w14:schemeClr w14:val="tx1"/>
                  </w14:solidFill>
                </w14:textFill>
              </w:rPr>
              <w:t>占比</w:t>
            </w:r>
            <w:r>
              <w:rPr>
                <w:rFonts w:hint="eastAsia" w:ascii="宋体" w:hAnsi="宋体" w:cs="宋体"/>
                <w:color w:val="000000" w:themeColor="text1"/>
                <w:kern w:val="0"/>
                <w:sz w:val="20"/>
                <w:szCs w:val="20"/>
                <w14:textFill>
                  <w14:solidFill>
                    <w14:schemeClr w14:val="tx1"/>
                  </w14:solidFill>
                </w14:textFill>
              </w:rPr>
              <w:t>（%），正向前沿距离法计算，满分1分。</w:t>
            </w:r>
          </w:p>
        </w:tc>
        <w:tc>
          <w:tcPr>
            <w:tcW w:w="1223" w:type="pct"/>
            <w:shd w:val="clear" w:color="auto" w:fill="auto"/>
            <w:vAlign w:val="center"/>
          </w:tcPr>
          <w:p>
            <w:pPr>
              <w:widowControl/>
              <w:adjustRightInd/>
              <w:spacing w:line="240" w:lineRule="auto"/>
              <w:jc w:val="left"/>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民营经济增加值</w:t>
            </w:r>
            <w:r>
              <w:rPr>
                <w:rFonts w:hint="eastAsia" w:ascii="宋体" w:hAnsi="宋体" w:cs="宋体"/>
                <w:color w:val="000000" w:themeColor="text1"/>
                <w:kern w:val="0"/>
                <w:sz w:val="20"/>
                <w:szCs w:val="20"/>
                <w:lang w:val="en-US" w:eastAsia="zh-CN"/>
                <w14:textFill>
                  <w14:solidFill>
                    <w14:schemeClr w14:val="tx1"/>
                  </w14:solidFill>
                </w14:textFill>
              </w:rPr>
              <w:t>占比</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=当年民营经济增加值/地区生产总值</w:t>
            </w:r>
            <w:r>
              <w:rPr>
                <w:rFonts w:hint="eastAsia" w:ascii="宋体" w:hAnsi="宋体" w:cs="宋体"/>
                <w:color w:val="000000" w:themeColor="text1"/>
                <w:kern w:val="0"/>
                <w:sz w:val="20"/>
                <w:szCs w:val="20"/>
                <w14:textFill>
                  <w14:solidFill>
                    <w14:schemeClr w14:val="tx1"/>
                  </w14:solidFill>
                </w14:textFill>
              </w:rPr>
              <w:t>*100%</w:t>
            </w:r>
          </w:p>
        </w:tc>
        <w:tc>
          <w:tcPr>
            <w:tcW w:w="622" w:type="pct"/>
            <w:shd w:val="clear" w:color="auto" w:fill="auto"/>
            <w:vAlign w:val="center"/>
          </w:tcPr>
          <w:p>
            <w:pPr>
              <w:keepNext/>
              <w:keepLines w:val="0"/>
              <w:pageBreakBefore w:val="0"/>
              <w:widowControl/>
              <w:kinsoku/>
              <w:wordWrap/>
              <w:overflowPunct/>
              <w:topLinePunct w:val="0"/>
              <w:bidi w:val="0"/>
              <w:adjustRightInd/>
              <w:snapToGrid/>
              <w:spacing w:line="240" w:lineRule="auto"/>
              <w:jc w:val="center"/>
              <w:textAlignment w:val="auto"/>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自治区</w:t>
            </w:r>
            <w:r>
              <w:rPr>
                <w:rFonts w:hint="eastAsia" w:ascii="宋体" w:hAnsi="宋体" w:cs="宋体"/>
                <w:color w:val="000000" w:themeColor="text1"/>
                <w:kern w:val="0"/>
                <w:sz w:val="20"/>
                <w:szCs w:val="20"/>
                <w:highlight w:val="none"/>
                <w:lang w:eastAsia="zh-CN"/>
                <w14:textFill>
                  <w14:solidFill>
                    <w14:schemeClr w14:val="tx1"/>
                  </w14:solidFill>
                </w14:textFill>
              </w:rPr>
              <w:t>统计局</w:t>
            </w:r>
          </w:p>
        </w:tc>
        <w:tc>
          <w:tcPr>
            <w:tcW w:w="382" w:type="pct"/>
            <w:shd w:val="clear" w:color="auto" w:fill="auto"/>
            <w:vAlign w:val="center"/>
          </w:tcPr>
          <w:p>
            <w:pPr>
              <w:keepNext/>
              <w:keepLines w:val="0"/>
              <w:pageBreakBefore w:val="0"/>
              <w:widowControl/>
              <w:kinsoku/>
              <w:wordWrap/>
              <w:overflowPunct/>
              <w:topLinePunct w:val="0"/>
              <w:bidi w:val="0"/>
              <w:adjustRightInd/>
              <w:snapToGrid/>
              <w:spacing w:line="240" w:lineRule="auto"/>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民间投资增长率（%），正向前沿距离法计算，满分1分。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民间投资增长率（%）</w:t>
            </w:r>
            <w:r>
              <w:rPr>
                <w:rFonts w:hint="eastAsia" w:ascii="宋体" w:hAnsi="宋体" w:cs="宋体"/>
                <w:color w:val="000000" w:themeColor="text1"/>
                <w:kern w:val="0"/>
                <w:sz w:val="20"/>
                <w:szCs w:val="20"/>
                <w:lang w:val="en-US" w:eastAsia="zh-CN"/>
                <w14:textFill>
                  <w14:solidFill>
                    <w14:schemeClr w14:val="tx1"/>
                  </w14:solidFill>
                </w14:textFill>
              </w:rPr>
              <w:t>=（当年民间投资额-上年民间投资额）</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上年民间投资额</w:t>
            </w:r>
            <w:r>
              <w:rPr>
                <w:rFonts w:hint="eastAsia" w:ascii="宋体" w:hAnsi="宋体" w:cs="宋体"/>
                <w:color w:val="000000" w:themeColor="text1"/>
                <w:kern w:val="0"/>
                <w:sz w:val="20"/>
                <w:szCs w:val="20"/>
                <w14:textFill>
                  <w14:solidFill>
                    <w14:schemeClr w14:val="tx1"/>
                  </w14:solidFill>
                </w14:textFill>
              </w:rPr>
              <w:t>*100%</w:t>
            </w:r>
          </w:p>
        </w:tc>
        <w:tc>
          <w:tcPr>
            <w:tcW w:w="622" w:type="pct"/>
            <w:shd w:val="clear" w:color="auto" w:fill="auto"/>
            <w:vAlign w:val="center"/>
          </w:tcPr>
          <w:p>
            <w:pPr>
              <w:keepNext/>
              <w:keepLines w:val="0"/>
              <w:pageBreakBefore w:val="0"/>
              <w:widowControl/>
              <w:kinsoku/>
              <w:wordWrap/>
              <w:overflowPunct/>
              <w:topLinePunct w:val="0"/>
              <w:bidi w:val="0"/>
              <w:adjustRightInd/>
              <w:snapToGrid/>
              <w:spacing w:line="240" w:lineRule="auto"/>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自治区</w:t>
            </w:r>
            <w:r>
              <w:rPr>
                <w:rFonts w:hint="eastAsia" w:ascii="宋体" w:hAnsi="宋体" w:cs="宋体"/>
                <w:color w:val="000000" w:themeColor="text1"/>
                <w:kern w:val="0"/>
                <w:sz w:val="20"/>
                <w:szCs w:val="20"/>
                <w:highlight w:val="none"/>
                <w:lang w:eastAsia="zh-CN"/>
                <w14:textFill>
                  <w14:solidFill>
                    <w14:schemeClr w14:val="tx1"/>
                  </w14:solidFill>
                </w14:textFill>
              </w:rPr>
              <w:t>统计局</w:t>
            </w:r>
          </w:p>
        </w:tc>
        <w:tc>
          <w:tcPr>
            <w:tcW w:w="382" w:type="pct"/>
            <w:shd w:val="clear" w:color="auto" w:fill="auto"/>
            <w:vAlign w:val="center"/>
          </w:tcPr>
          <w:p>
            <w:pPr>
              <w:keepNext/>
              <w:keepLines w:val="0"/>
              <w:pageBreakBefore w:val="0"/>
              <w:widowControl/>
              <w:kinsoku/>
              <w:wordWrap/>
              <w:overflowPunct/>
              <w:topLinePunct w:val="0"/>
              <w:bidi w:val="0"/>
              <w:adjustRightInd/>
              <w:snapToGrid/>
              <w:spacing w:line="240" w:lineRule="auto"/>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default" w:ascii="宋体" w:hAnsi="宋体" w:cs="宋体"/>
                <w:color w:val="000000" w:themeColor="text1"/>
                <w:kern w:val="0"/>
                <w:sz w:val="20"/>
                <w:szCs w:val="20"/>
                <w:lang w:val="en-US"/>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民间投资</w:t>
            </w:r>
            <w:r>
              <w:rPr>
                <w:rFonts w:hint="eastAsia" w:ascii="宋体" w:hAnsi="宋体" w:cs="宋体"/>
                <w:color w:val="000000" w:themeColor="text1"/>
                <w:kern w:val="0"/>
                <w:sz w:val="20"/>
                <w:szCs w:val="20"/>
                <w:lang w:val="en-US" w:eastAsia="zh-CN"/>
                <w14:textFill>
                  <w14:solidFill>
                    <w14:schemeClr w14:val="tx1"/>
                  </w14:solidFill>
                </w14:textFill>
              </w:rPr>
              <w:t>占比</w:t>
            </w:r>
            <w:r>
              <w:rPr>
                <w:rFonts w:hint="eastAsia" w:ascii="宋体" w:hAnsi="宋体" w:cs="宋体"/>
                <w:color w:val="000000" w:themeColor="text1"/>
                <w:kern w:val="0"/>
                <w:sz w:val="20"/>
                <w:szCs w:val="20"/>
                <w14:textFill>
                  <w14:solidFill>
                    <w14:schemeClr w14:val="tx1"/>
                  </w14:solidFill>
                </w14:textFill>
              </w:rPr>
              <w:t>（%），正向前沿距离法计算，满分1分。</w:t>
            </w:r>
          </w:p>
        </w:tc>
        <w:tc>
          <w:tcPr>
            <w:tcW w:w="1223" w:type="pct"/>
            <w:shd w:val="clear" w:color="auto" w:fill="auto"/>
            <w:vAlign w:val="center"/>
          </w:tcPr>
          <w:p>
            <w:pPr>
              <w:widowControl/>
              <w:adjustRightInd/>
              <w:spacing w:line="240" w:lineRule="auto"/>
              <w:jc w:val="left"/>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民间投资</w:t>
            </w:r>
            <w:r>
              <w:rPr>
                <w:rFonts w:hint="eastAsia" w:ascii="宋体" w:hAnsi="宋体" w:cs="宋体"/>
                <w:color w:val="000000" w:themeColor="text1"/>
                <w:kern w:val="0"/>
                <w:sz w:val="20"/>
                <w:szCs w:val="20"/>
                <w:lang w:val="en-US" w:eastAsia="zh-CN"/>
                <w14:textFill>
                  <w14:solidFill>
                    <w14:schemeClr w14:val="tx1"/>
                  </w14:solidFill>
                </w14:textFill>
              </w:rPr>
              <w:t>占比</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val="en-US" w:eastAsia="zh-CN"/>
                <w14:textFill>
                  <w14:solidFill>
                    <w14:schemeClr w14:val="tx1"/>
                  </w14:solidFill>
                </w14:textFill>
              </w:rPr>
              <w:t>=</w:t>
            </w:r>
            <w:r>
              <w:rPr>
                <w:rFonts w:hint="eastAsia" w:ascii="宋体" w:hAnsi="宋体" w:cs="宋体"/>
                <w:color w:val="000000" w:themeColor="text1"/>
                <w:kern w:val="0"/>
                <w:sz w:val="20"/>
                <w:szCs w:val="20"/>
                <w:lang w:eastAsia="zh-CN"/>
                <w14:textFill>
                  <w14:solidFill>
                    <w14:schemeClr w14:val="tx1"/>
                  </w14:solidFill>
                </w14:textFill>
              </w:rPr>
              <w:t>民间投资</w:t>
            </w:r>
            <w:r>
              <w:rPr>
                <w:rFonts w:hint="eastAsia" w:ascii="宋体" w:hAnsi="宋体" w:cs="宋体"/>
                <w:color w:val="000000" w:themeColor="text1"/>
                <w:kern w:val="0"/>
                <w:sz w:val="20"/>
                <w:szCs w:val="20"/>
                <w:lang w:val="en-US" w:eastAsia="zh-CN"/>
                <w14:textFill>
                  <w14:solidFill>
                    <w14:schemeClr w14:val="tx1"/>
                  </w14:solidFill>
                </w14:textFill>
              </w:rPr>
              <w:t>额/</w:t>
            </w:r>
            <w:r>
              <w:rPr>
                <w:rFonts w:hint="eastAsia" w:ascii="宋体" w:hAnsi="宋体" w:cs="宋体"/>
                <w:color w:val="000000" w:themeColor="text1"/>
                <w:kern w:val="0"/>
                <w:sz w:val="20"/>
                <w:szCs w:val="20"/>
                <w:lang w:eastAsia="zh-CN"/>
                <w14:textFill>
                  <w14:solidFill>
                    <w14:schemeClr w14:val="tx1"/>
                  </w14:solidFill>
                </w14:textFill>
              </w:rPr>
              <w:t>本地固定资产投资</w:t>
            </w:r>
            <w:r>
              <w:rPr>
                <w:rFonts w:hint="eastAsia" w:ascii="宋体" w:hAnsi="宋体" w:cs="宋体"/>
                <w:color w:val="000000" w:themeColor="text1"/>
                <w:kern w:val="0"/>
                <w:sz w:val="20"/>
                <w:szCs w:val="20"/>
                <w:lang w:val="en-US" w:eastAsia="zh-CN"/>
                <w14:textFill>
                  <w14:solidFill>
                    <w14:schemeClr w14:val="tx1"/>
                  </w14:solidFill>
                </w14:textFill>
              </w:rPr>
              <w:t>额</w:t>
            </w:r>
            <w:r>
              <w:rPr>
                <w:rFonts w:hint="eastAsia" w:ascii="宋体" w:hAnsi="宋体" w:cs="宋体"/>
                <w:color w:val="000000" w:themeColor="text1"/>
                <w:kern w:val="0"/>
                <w:sz w:val="20"/>
                <w:szCs w:val="20"/>
                <w14:textFill>
                  <w14:solidFill>
                    <w14:schemeClr w14:val="tx1"/>
                  </w14:solidFill>
                </w14:textFill>
              </w:rPr>
              <w:t>*100%</w:t>
            </w:r>
          </w:p>
        </w:tc>
        <w:tc>
          <w:tcPr>
            <w:tcW w:w="622" w:type="pct"/>
            <w:shd w:val="clear" w:color="auto" w:fill="auto"/>
            <w:vAlign w:val="center"/>
          </w:tcPr>
          <w:p>
            <w:pPr>
              <w:keepNext/>
              <w:keepLines w:val="0"/>
              <w:pageBreakBefore w:val="0"/>
              <w:widowControl/>
              <w:kinsoku/>
              <w:wordWrap/>
              <w:overflowPunct/>
              <w:topLinePunct w:val="0"/>
              <w:bidi w:val="0"/>
              <w:adjustRightInd/>
              <w:snapToGrid/>
              <w:spacing w:line="240" w:lineRule="auto"/>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自治区</w:t>
            </w:r>
            <w:r>
              <w:rPr>
                <w:rFonts w:hint="eastAsia" w:ascii="宋体" w:hAnsi="宋体" w:cs="宋体"/>
                <w:color w:val="000000" w:themeColor="text1"/>
                <w:kern w:val="0"/>
                <w:sz w:val="20"/>
                <w:szCs w:val="20"/>
                <w:highlight w:val="none"/>
                <w:lang w:eastAsia="zh-CN"/>
                <w14:textFill>
                  <w14:solidFill>
                    <w14:schemeClr w14:val="tx1"/>
                  </w14:solidFill>
                </w14:textFill>
              </w:rPr>
              <w:t>统计局</w:t>
            </w:r>
          </w:p>
        </w:tc>
        <w:tc>
          <w:tcPr>
            <w:tcW w:w="382" w:type="pct"/>
            <w:shd w:val="clear" w:color="auto" w:fill="auto"/>
            <w:vAlign w:val="center"/>
          </w:tcPr>
          <w:p>
            <w:pPr>
              <w:keepNext/>
              <w:keepLines w:val="0"/>
              <w:pageBreakBefore w:val="0"/>
              <w:widowControl/>
              <w:kinsoku/>
              <w:wordWrap/>
              <w:overflowPunct/>
              <w:topLinePunct w:val="0"/>
              <w:bidi w:val="0"/>
              <w:adjustRightInd/>
              <w:snapToGrid/>
              <w:spacing w:line="240" w:lineRule="auto"/>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自治区认定的重点产业链“链主”企业数量（家），正向前沿距离法计算，满分1分。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自治区工业和信息化厅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自治区级产业集群（含培育、特色）数（个），正向前沿距离法计算，满分1分。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自治区工业和信息化厅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当地财政对产业政策奖补资金兑现金额（万元），正向前沿距离法计算，满分1分。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自治区工业和信息化厅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招商引资项目开工率（%），正向前沿距离法计算，满分1分。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招商引资项目开工率（%）=招商引资项目开工数/招商引资项目总数*100%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自治区商务厅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工业用地的利用效率（%），正向前沿距离法计算，满分1分。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工业用地的利用效率（%）=实际利用的工业用地和产业园区范围内工业用地/工业用地和产业园区范围内工业用地总额*100%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自治区自然资源厅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restar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城市品质</w:t>
            </w: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万人城市文化建筑面积（平方米）（包括图书馆、博物馆、文化馆），正向前沿距离法计算，满分1分。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万人城市文化建筑面积（平方米）=城市文化建筑总面积/城市常住人口数*10000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自治区文化和旅游厅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人均拥有公共图书馆藏书量（册），正向前沿距离法计算，满分1分。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人均拥有公共图书馆藏书量（册）=城市公共图书馆总藏书量/城市常住人口数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自治区文化和旅游厅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省级文化产业示范基地数量（家），正向前沿距离法计算，满分1分。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自治区文化和旅游厅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乡镇</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街道）综合文化站覆盖率（%），正向前沿距离法计算，满分1分。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乡镇</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街道）综合文化站覆盖率（%）=乡镇</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街道）综合文化站总数/乡镇</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街道）总数*100%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自治区文化和旅游厅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九年义务教育巩固率（%），正向前沿距离法计算，满分1分。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九年义务教育巩固率（%）=初中三年级在校学生总数/该年级入小学一年级总人数*100%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自治区教育厅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学前教育毛入园率（%），正向前沿距离法计算，满分1分。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学前教育毛入园率（%）=学前教育在园（班）幼儿总数/3～5岁年龄组人口数*100%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自治区教育厅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高中阶段毛入学率（%），正向前沿距离法计算，满分1分。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高中阶段毛入学率（%）=高中阶段在校生总数/15～17岁年龄组人口数*100%（高中阶段在校生总数=普通高中在校生数+中等职业学校在校生数+技校在校生+成人高中注册学生数）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自治区教育厅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每千人口执业医师数（人），每千人口执业（助理）医师数（人），正向前沿距离法计算，满分1分。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每千人口执业医师数（人）=年末执业医师数/年末常住人口数*1000；每千人口执业（助理）医师数（人）=年末执业（助理）医师数/年末常住人口数*1000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自治区卫生健康委</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宁夏卫生健康统计信息网络直报系统</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社区日间照料机构和养老服务设施覆盖率（%），正向前沿距离法计算，满分1分。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社区日间照料机构和养老服务设施覆盖率（%）=城市社区中具备老年人照料功能的日间照料机构和养老服务设施包括老年活动室）覆盖的社区数量/城市社区总数*100%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自治区民政厅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养老机构护理型床位占比（%），达到60%得1分，未达到不得分。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养老机构护理型床位占比（%）=具备失能、部分失能老年人照护服务条件的养老机构床位数量/养老机构床位总数量*100%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自治区民政厅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公路网密度（km/km²），正向前沿距离法计算，满分1分。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公路网密度（km/km²）=地方公路总里程（km）/百平方公里（地方区域面积）</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交通运输局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公路技术状况等级，满分1分，按照各等级公路在地方公路占比，按比例计算总分，总分分为优（</w:t>
            </w: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90）良（</w:t>
            </w: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80,&lt;90）中（</w:t>
            </w: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70,&lt;80）次（</w:t>
            </w: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60,&lt;70）差（&lt;60）5个等级，分别得1、0.75、0.5、0.25、0分。</w:t>
            </w:r>
          </w:p>
        </w:tc>
        <w:tc>
          <w:tcPr>
            <w:tcW w:w="12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普通省道和农村公路一级、二级依据《公路技术状况评定标准》JTB5210-2018评定，包括路基技术状况指数SCI、路面技术状况指数PQI、桥隧构造物技术状况指数BCI、沿线设施技术状况指数TCI其中路面技术状况指数PQI包括路面损坏状况指数PCI、路面行驶质量指数RQI、路面车辙深度指数RDI、路面跳车指数PBI、路面磨耗指数PWI、路面抗滑性能指数SRI、路面结构强度指数PSSI</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三级以下农村公路依据《农村公路技术状况评定标准》JTB5210-2024评定，包括路基技术状况指数SCI、路面技术状况指数PQI、桥隧构造物技术状况指数BCI、沿线设施技术状况指数TCI其中路面技术状况指数PQI包括路面损坏状况指数PCI、路面行驶质量指数RQI、路面结构强度指数PSSI</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交通运输局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城市公共交通出行分担率（%），正向前沿距离法计算，满分1分。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城市公共交通出行分担率（%）=公共交通出行量/总出行量*100%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交通运输局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空气质量优良天数占比同比变化（%），正向前沿距离法计算，满分1分。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空气质量优良天数同比变化（%）=（本期空气质量优良天数/本期总天数-上期空气质量优良天数/上期总天数）/上期空气质量优良天数）*100%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自治区生态环境厅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地表水国控断面达到或好于Ⅲ类水体的比例（%），正向前沿距离法计算，满分1分。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地表水国控断面达到或好于Ⅲ类水体的比例（%）=水质达到或优于Ⅲ类的国控地表水环境质量监测断面数/断面总数*100%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自治区生态环境厅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val="0"/>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生活垃圾无害化处理率（%），资源化利用率（%），正向前沿距离法计算，满分1分。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生活垃圾无害化处理率（%）=生活垃圾无害化处理量/生活垃圾清运量*100%；生活垃圾资源化利用率（%）=[</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可回收物回收量+焚烧处理量*焚烧处理的资源化率折算系数+厨余垃圾处理量*厨余垃圾处理的资源化率折算系数+卫生填埋处理量*卫生填埋处理的资源化率折算系数）/</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可回收物回收量+生活垃圾清运量）]*100%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住房和城乡建设局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val="0"/>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（建成区）绿化覆盖率同比增长（%），正向前沿距离法计算，满分1分。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（建成区）绿化覆盖率同比增长（%）=建成区各类绿地面积（km²）/建成区面积（km²）*100%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自治区住房和城乡建设厅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城市建成区公园绿化活动场地服务半径覆盖率（%），正向前沿距离法计算，满分1分。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城市建成区公园绿化活动场地服务半径覆盖率（%）=公园绿化活动场地服务半径覆盖的居住用地面积</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km²</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/居住用地总面积</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km²）*100%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自治区住房和城乡建设厅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restar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政务环境</w:t>
            </w:r>
          </w:p>
        </w:tc>
        <w:tc>
          <w:tcPr>
            <w:tcW w:w="225" w:type="pct"/>
            <w:vMerge w:val="restart"/>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办理建筑许可</w:t>
            </w: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通过工程建设项目审批管理系统全流程并联审批办件占比（%），正向前沿距离法计算，满分1分。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通过工程建设项目审批管理系统全流程并联审批办件占比（%）=通过工程建设项目审批管理系统全流程并联审批办件业务量/业务总办件量*100%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自治区住房和城乡建设厅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通过工程建设项目审批管理系统实行联合验收的项目占比（%），正向前沿距离法计算，满分1分。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通过工程建设项目审批管理系统实行联合验收的项目占比（%）=本年度通过工程建设项目审批管理系统实行联合验收的项目数/本年度实行验收总项目数*100%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自治区住房和城乡建设厅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通过工程建设项目审批管理系统实行告知承诺制的办件数（件），正向前沿距离法计算，满分1分。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自治区住房和城乡建设厅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通过工程建设项目审批管理系统办理市政公用服务的项目数（个），正向前沿距离法计算，满分1分。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自治区住房和城乡建设厅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工程建设项目办件逾期率（%），负向前沿距离法计算，满分1分。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工程建设项目办件逾期率（%）=工程建设项目办件逾期业务数/工程建设项目办件总业务数*100%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自治区住房和城乡建设厅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工程建设项目审批管理系统办件信息准确率（%），正向前沿距离法计算，满分1分。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工程建设项目审批管理系统办件信息准确率（%）=数据错误项目数/项目总数*100%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自治区住房和城乡建设厅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纳入工程建设项目审批系统配置的审批流程数量（个），正向前沿距离法计算，满分1分。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自治区住房和城乡建设厅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“一张蓝图”建设已整合的图层数，正向前沿距离法计算，满分1分。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自治区自然资源厅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应用“一张蓝图”统筹项目策划生产的项目数占总项目数的比例（%），正向前沿距离法计算，满分1分。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应用“一张蓝图”统筹项目策划生产的项目数占总项目数的比例（%）=应用“一张蓝图”统筹项目策划生产的项目数/总项目数*100%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自治区住房和城乡建设厅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通过“多规合一”业务协同平台策划生成的项目数量（个），正向前沿距离法计算，满分1分。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自治区住房和城乡建设厅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采取“标准地”模式供应的工业土地数量（宗），正向前沿距离法计算，满分1分。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自治区自然资源厅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社会小型低风险类项目/一般社会投资类项目从获取建设用地开始到完成首次不动产登记截止整个过程需要办理的环节数量（个），负向前沿距离法计算，满分1分。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自治区住房和城乡建设厅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社会小型低风险类项目/一般社会投资类项目从获取建设用地开始到完成首次不动产登记截止整个过程需要办理手续的时间（工作日），负向前沿距离法计算，满分1分。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社会小型低风险类项目/一般社会投资类项目市场主体从获取建设用地开始到完成首次不动产登记截止整个过程需要办理手续的时间（工作日）=∑（每笔业务的完成登记时间-获取建设用地时间）/业务总笔数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自治区住房和城乡建设厅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社会小型低风险类项目/一般社会投资类项目从获取建设用地开始到完成首次不动产登记截止整个过程需要办理手续的成本（元），负向前沿距离法计算，满分1分。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自治区住房和城乡建设厅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restart"/>
            <w:vAlign w:val="center"/>
          </w:tcPr>
          <w:p>
            <w:pPr>
              <w:keepNext/>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登记财产</w:t>
            </w: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通过各银行网点办理的不动产抵押登记数量占不动产抵押登记总办件数量的比例（%），正向前沿距离法计算，满分1分。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通过各银行网点办理的</w:t>
            </w:r>
            <w:r>
              <w:rPr>
                <w:rFonts w:hint="eastAsia" w:ascii="宋体" w:hAnsi="宋体" w:cs="宋体"/>
                <w:color w:val="000000" w:themeColor="text1"/>
                <w:kern w:val="0"/>
                <w:sz w:val="20"/>
                <w:szCs w:val="20"/>
                <w:lang w:eastAsia="zh-CN"/>
                <w14:textFill>
                  <w14:solidFill>
                    <w14:schemeClr w14:val="tx1"/>
                  </w14:solidFill>
                </w14:textFill>
              </w:rPr>
              <w:t>不动产抵押登记</w:t>
            </w:r>
            <w:r>
              <w:rPr>
                <w:rFonts w:hint="eastAsia" w:ascii="宋体" w:hAnsi="宋体" w:cs="宋体"/>
                <w:color w:val="000000" w:themeColor="text1"/>
                <w:kern w:val="0"/>
                <w:sz w:val="20"/>
                <w:szCs w:val="20"/>
                <w14:textFill>
                  <w14:solidFill>
                    <w14:schemeClr w14:val="tx1"/>
                  </w14:solidFill>
                </w14:textFill>
              </w:rPr>
              <w:t>数量占不动产抵押登记总办件数量的比例（%）=各银行网点办理不动产抵押登记办件量/不动产抵押登记总办件量*100%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自治区自然资源厅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宁夏不动产统一登记系统</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应用交房即交证的楼盘数量占经竣工验收交付的楼盘数量的比例（%），正向前沿距离法计算，满分1分。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应用交房即交证的楼盘数量占经竣工验收交付的楼盘数量的比例（%）=应用交房即交证的楼盘数量/经竣工验收交付的楼盘数量*100%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自治区自然资源厅、自治区住房和城乡建设厅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宁夏不动产统一登记系统</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本地不动产登记机构转移登记“全程网办”的办件率</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本地不动产登记机构转移登记“全程网办”的办件率（%）=本地不动产登记机构转移登记“全程网办”办件量/本地不动产登记机构转移登记总办件量*100%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自治区自然资源厅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宁夏不动产统一登记系统</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不动产电子证照应用的领域数量（个），正向前沿距离法计算，满分1分。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自治区自然资源厅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宁夏不动产统一登记系统</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实现与不动产登记互通共享的信息数（项），正向前沿距离法计算，满分1分。</w:t>
            </w:r>
          </w:p>
        </w:tc>
        <w:tc>
          <w:tcPr>
            <w:tcW w:w="1223" w:type="pct"/>
            <w:shd w:val="clear" w:color="auto" w:fill="auto"/>
            <w:vAlign w:val="center"/>
          </w:tcPr>
          <w:p>
            <w:pPr>
              <w:keepNext/>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keepNext/>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自治区自然资源厅、自治区住房和城乡建设厅</w:t>
            </w:r>
          </w:p>
        </w:tc>
        <w:tc>
          <w:tcPr>
            <w:tcW w:w="382" w:type="pct"/>
            <w:shd w:val="clear" w:color="auto" w:fill="auto"/>
            <w:vAlign w:val="center"/>
          </w:tcPr>
          <w:p>
            <w:pPr>
              <w:keepNext/>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宁夏不动产统一登记系统</w:t>
            </w:r>
          </w:p>
        </w:tc>
        <w:tc>
          <w:tcPr>
            <w:tcW w:w="260" w:type="pct"/>
            <w:shd w:val="clear" w:color="auto" w:fill="auto"/>
            <w:noWrap/>
            <w:vAlign w:val="center"/>
          </w:tcPr>
          <w:p>
            <w:pPr>
              <w:keepNext/>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keepNext/>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keepNext/>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企业间实际办理不动产转移登记业务发生的所有环节数量（个），负向前沿距离法计算，满分1分。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自治区自然资源厅、自治区政府办公厅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现场核查、自治区政务数据共享平台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企业办理不动产抵押登记从申请到领证所有环节数量（个），负向前沿距离法计算，满分1分。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自治区自然资源厅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宁夏不动产统一登记系统</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企业间不动产转移登记业务办理平均时间（工作日），负向前沿距离法计算，满分1分。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企业间不动产转移登记业务全流程办理平均耗时（工作日）=∑（每笔业务的登簿时间-受理时间）/业务总笔数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自治区自然资源厅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宁夏不动产统一登记系统</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企业办理不动产抵押登记从申请到登簿的平均时间（工作日），负向前沿距离法计算，满分1分。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企业办理不动产抵押登记从申请到登簿的平均时间（工作日）=∑（每笔业务的登簿时间-受理时间）/业务总笔数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自治区自然资源厅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宁夏不动产统一登记系统</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企业间不动产转移业务所花费的成本为（元），负向前沿距离法计算，满分1分。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转移登记成本为产权转移需要缴纳的税费和不动产登记费</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自然资源局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企业办理不动产抵押登记从申请到领证所花费的成本为（元），负向前沿距离法计算，满分1分。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抵押登记的成本为不动产登记费</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自然资源局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restart"/>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纳税</w:t>
            </w: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征纳互动人工服务平均等候时长（分钟），负向前沿距离法计算，满分1分。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征纳互动人工服务平均等候时长（分钟）=征纳互动人工服务等候总时长/征纳互动人工坐席总呼入数</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国家税务总局宁夏回族自治区税务局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征纳互动人工应答成功率（%），正向前沿距离法计算，满分1分。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征纳互动人工应答成功率（%）＝征纳互动人工坐席总接通数/征纳互动人工坐席总呼入数*100%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国家税务总局宁夏回族自治区税务局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异议申诉平均办理时长（工作日），负向前沿距离法计算，满分1分。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异议申诉平均办理时长（工作日）＝自然人电子税务局异议申诉处理总时长/异议处理任务总数</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国家税务总局宁夏回族自治区税务局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一般注销流程超期率（%），负向前沿距离法计算，满分1分。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一般注销流程超期率（%）＝发起一般注销流程中已超过期限的纳税人户数/一般注销总户数*100%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国家税务总局宁夏回族自治区税务局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留抵退税平均办理时长（工作日），负向前沿距离法计算，满分1分。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留抵退税平均办理时长（工作日）＝留抵退税业务办理总时长/留抵退税办理业务量</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国家税务总局宁夏回族自治区税务局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企业所得税汇算（结算）清缴退税平均办理时长（工作日），负向前沿距离法计算，满分1分。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企业所得税汇算（结算）清缴退税平均办理时长（工作日）＝汇算（结算）清缴退税业务办理总时长/汇算（结算）清缴退税办理业务量</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国家税务总局宁夏回族自治区税务局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企业出口退税平均时间（工作日），正常出口退税平均办理时间在6个工作日内，一类、二类出口企业正常出口退（免）税平均时间3个工作日内得1分。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企业出口退税平均时间（工作日）=∑（每笔出口退税业务结束时间-开始时间）/业务总笔数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国家税务总局宁夏回族自治区税务局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val="0"/>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restart"/>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政务服务</w:t>
            </w: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政务服务事项进驻率（%），正向前沿距离法计算，满分1分。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政务服务事项进驻率（%）=已进驻综合性政务服务中心的事项数/政务服务事项总数*100%（受场地限制、专网系统、涉密等原因导致未进驻的事项除外）</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审批服务管理局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政务服务事项按时办结率（%），正向前沿距离法计算，满分1分。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政务服务事项按时办结率（%）=在规定时限内办结的办结数/政务服务事项总办件数*100%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自治区人民政府办公厅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免提交证明事项占比（%），正向前沿距离法计算，满分1分。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免提交证明事项占比（%）=（实行告知承诺制的证明事项数+通过数据共享、部门核验等其他方式免提交的证明事项数）/证明事项清单总数*100%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审批服务管理局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“好差评”差评按期整改率（%），正向前沿距离法计算，满分1分。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“好差评”差评按期整改率（%）=已按期整改差评数/应整改差评总数*100%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审批服务管理局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12345热线受理工单按时办结率（%），正向前沿距离法计算，满分1分。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12345热线受理工单按时办结率（%)=按时办结数/已办结总数*100%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自治区人民政府办公厅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12345热线受理工单满意率（%），正向前沿距离法计算，满分1分。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12345热线受理工单满意率（%）=热线中心回访表示对办理工单满意的数量/有效回访总量*100%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自治区人民政府办公厅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“掌上办”事项占比（%），正向前沿距离法计算，满分1分。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“掌上办”事项占比（%）=“掌上办”政务服务事项/政务服务总事项*100%</w:t>
            </w:r>
          </w:p>
        </w:tc>
        <w:tc>
          <w:tcPr>
            <w:tcW w:w="622"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审批服务管理局</w:t>
            </w:r>
          </w:p>
        </w:tc>
        <w:tc>
          <w:tcPr>
            <w:tcW w:w="382"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网上可办率（%），正向前沿距离法计算，满分1分。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网上可办率（%）=办理深度为二级及以上的事项/政务服务总事项*100%</w:t>
            </w:r>
          </w:p>
        </w:tc>
        <w:tc>
          <w:tcPr>
            <w:tcW w:w="622"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自治区人民政府办公厅</w:t>
            </w:r>
          </w:p>
        </w:tc>
        <w:tc>
          <w:tcPr>
            <w:tcW w:w="382"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全程网办率（%），正向前沿距离法计算，满分1分。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全程网办率（%）=办理深度为四级及以上的事项/政务服务总事项*100%</w:t>
            </w:r>
          </w:p>
        </w:tc>
        <w:tc>
          <w:tcPr>
            <w:tcW w:w="622"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自治区人民政府办公厅</w:t>
            </w:r>
          </w:p>
        </w:tc>
        <w:tc>
          <w:tcPr>
            <w:tcW w:w="382"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已实现电子证照应用的领域数量（个），正向前沿距离法计算得分，满分1分。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领域包括政务服务、市政公用服务、金融服务、公共资源交易等</w:t>
            </w:r>
          </w:p>
        </w:tc>
        <w:tc>
          <w:tcPr>
            <w:tcW w:w="622"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审批服务管理局</w:t>
            </w:r>
          </w:p>
        </w:tc>
        <w:tc>
          <w:tcPr>
            <w:tcW w:w="382"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电子证照签发率（%），正向前沿距离法计算，满分1分。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电子证照签发率（%）=累计已签发的电子证照数量/应签发电子证照的总数量*100%</w:t>
            </w:r>
          </w:p>
        </w:tc>
        <w:tc>
          <w:tcPr>
            <w:tcW w:w="622"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自治区人民政府办公厅</w:t>
            </w:r>
          </w:p>
        </w:tc>
        <w:tc>
          <w:tcPr>
            <w:tcW w:w="382"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电子证照使用率（%），正向前沿距离法计算，满分1分。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电子证照使用率（%）=实际使用电子证照事项次数/政务服务事项办理总次数*100%</w:t>
            </w:r>
          </w:p>
        </w:tc>
        <w:tc>
          <w:tcPr>
            <w:tcW w:w="622"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审批服务管理局</w:t>
            </w:r>
          </w:p>
        </w:tc>
        <w:tc>
          <w:tcPr>
            <w:tcW w:w="382"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“高效办成一件事”重点事项完成率（%），正向前沿距离法计算，满分1分。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“高效办成一件事”重点事项完成率（%）=已实现的“高效办成一件事”重点事项数/应承接的“高效办成一件事”重点事项数*100%</w:t>
            </w:r>
          </w:p>
        </w:tc>
        <w:tc>
          <w:tcPr>
            <w:tcW w:w="622"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审批服务管理局</w:t>
            </w:r>
          </w:p>
        </w:tc>
        <w:tc>
          <w:tcPr>
            <w:tcW w:w="382"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规范开展政策一致性评估</w:t>
            </w:r>
            <w:r>
              <w:rPr>
                <w:rFonts w:hint="eastAsia"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lang w:eastAsia="zh-CN"/>
                <w14:textFill>
                  <w14:solidFill>
                    <w14:schemeClr w14:val="tx1"/>
                  </w14:solidFill>
                </w14:textFill>
              </w:rPr>
              <w:t>未被通报违反政策一致性的情况</w:t>
            </w:r>
            <w:r>
              <w:rPr>
                <w:rFonts w:hint="eastAsia" w:ascii="宋体" w:hAnsi="宋体" w:cs="宋体"/>
                <w:color w:val="000000" w:themeColor="text1"/>
                <w:kern w:val="0"/>
                <w:sz w:val="20"/>
                <w:szCs w:val="20"/>
                <w:lang w:val="en-US" w:eastAsia="zh-CN"/>
                <w14:textFill>
                  <w14:solidFill>
                    <w14:schemeClr w14:val="tx1"/>
                  </w14:solidFill>
                </w14:textFill>
              </w:rPr>
              <w:t>得</w:t>
            </w:r>
            <w:r>
              <w:rPr>
                <w:rFonts w:hint="eastAsia" w:ascii="宋体" w:hAnsi="宋体" w:cs="宋体"/>
                <w:color w:val="000000" w:themeColor="text1"/>
                <w:kern w:val="0"/>
                <w:sz w:val="20"/>
                <w:szCs w:val="20"/>
                <w14:textFill>
                  <w14:solidFill>
                    <w14:schemeClr w14:val="tx1"/>
                  </w14:solidFill>
                </w14:textFill>
              </w:rPr>
              <w:t>1分</w:t>
            </w:r>
            <w:r>
              <w:rPr>
                <w:rFonts w:hint="eastAsia" w:ascii="宋体" w:hAnsi="宋体" w:cs="宋体"/>
                <w:color w:val="000000" w:themeColor="text1"/>
                <w:kern w:val="0"/>
                <w:sz w:val="20"/>
                <w:szCs w:val="20"/>
                <w:lang w:eastAsia="zh-CN"/>
                <w14:textFill>
                  <w14:solidFill>
                    <w14:schemeClr w14:val="tx1"/>
                  </w14:solidFill>
                </w14:textFill>
              </w:rPr>
              <w:t>，被通报得</w:t>
            </w:r>
            <w:r>
              <w:rPr>
                <w:rFonts w:hint="eastAsia" w:ascii="宋体" w:hAnsi="宋体" w:cs="宋体"/>
                <w:color w:val="000000" w:themeColor="text1"/>
                <w:kern w:val="0"/>
                <w:sz w:val="20"/>
                <w:szCs w:val="20"/>
                <w:lang w:val="en-US" w:eastAsia="zh-CN"/>
                <w14:textFill>
                  <w14:solidFill>
                    <w14:schemeClr w14:val="tx1"/>
                  </w14:solidFill>
                </w14:textFill>
              </w:rPr>
              <w:t>0分</w:t>
            </w:r>
            <w:r>
              <w:rPr>
                <w:rFonts w:hint="eastAsia" w:ascii="宋体" w:hAnsi="宋体" w:cs="宋体"/>
                <w:color w:val="000000" w:themeColor="text1"/>
                <w:kern w:val="0"/>
                <w:sz w:val="20"/>
                <w:szCs w:val="20"/>
                <w14:textFill>
                  <w14:solidFill>
                    <w14:schemeClr w14:val="tx1"/>
                  </w14:solidFill>
                </w14:textFill>
              </w:rPr>
              <w:t>。</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自治区发展改革委</w:t>
            </w:r>
          </w:p>
        </w:tc>
        <w:tc>
          <w:tcPr>
            <w:tcW w:w="382"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纳入政务服务大厅或接入政务服务平台的公用事业高频事项数（项），正向前沿距离法计算，满分1分。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审批服务管理局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restar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法治环境</w:t>
            </w:r>
          </w:p>
        </w:tc>
        <w:tc>
          <w:tcPr>
            <w:tcW w:w="225" w:type="pct"/>
            <w:vMerge w:val="restart"/>
            <w:shd w:val="clear" w:color="000000" w:fill="FFFFFF"/>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市场监管</w:t>
            </w: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依托“双随机、一公开”监管平台采用双随机抽查检查方式开展工作的部门数量占市场监管领域行政执法部门数量的比例（%），达到100%得1分，每少5%扣0.2分。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依托“双随机、一公开”监管平台采用双随机抽查检查方式开展工作的部门数量占市场监管领域行政执法部门数量的比例（%）=依托“双随机、一公开”监管平台采用双随机抽查检查方式开展工作的部门数量/双随机系统中市场监管领域行政执法部门总数*100%（以国家要求的16个部门为基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自治区市场监督管理厅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shd w:val="clear" w:color="000000" w:fill="FFFFFF"/>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抽查任务覆盖抽查事项数占自治区统一随机抽查事项清单事项数的比例（%），正向前沿距离法计算，满分1分。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抽查任务覆盖抽查事项数占自治区统一随机抽查事项清单事项数的比例（%）=抽查任务覆盖抽查事项数/自治区统一随机抽查事项清单事项数*100%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自治区市场监督管理厅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shd w:val="clear" w:color="000000" w:fill="FFFFFF"/>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联合抽查事项数占双随机抽查事项总数的比例（%），层差法计算，30%以上得1分，25%以上得0.6分，20%以上得0.3分，20%以下不得分。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联合抽查事项数占双随机抽查事项总数的比例（%）=联合抽查事项数/双随机抽查事项总数*100%（以国家要求的16个部门为基数）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自治区市场监督管理厅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shd w:val="clear" w:color="000000" w:fill="FFFFFF"/>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参与联合抽查的部门数量占市场监管领域行政执法部门总数的比例（%），层差法计算，100%得1分，90%以上得0.6分，80%以上得0.3分，80%以下不得分。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参与联合抽查的部门数量占市场监管领域行政执法部门总数的比例（%）=参与联合抽查的部门数/市场监管领域的部门总数*100%（以国家要求的16个部门为基数）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市场监督管理局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shd w:val="clear" w:color="000000" w:fill="FFFFFF"/>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实施信用风险分类抽查任务总数占“双随机、一公开”抽查任务总数的比例（%），正向前沿距离法计算，满分1分。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实施信用风险分类抽查任务总数占“双随机、一公开”抽查任务总数的比例（%）=实施信用风险分类抽查任务总数/“双随机、一公开”抽查任务总数*100%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自治区市场监管厅及已开展专业领域风险分类或分级分类的监管部门</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shd w:val="clear" w:color="000000" w:fill="FFFFFF"/>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依托“双随机、一公开”监管平台开展的抽查检查结果公开户数占依托“双随机、一公开”监管平台开展的抽查检查对象总数的比例（%），正向前沿距离法计算，满分1分。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依托“双随机、一公开”监管平台开展的抽查检查结果公开户数占依托“双随机、一公开”监管平台开展的抽查检查对象总数的比例（%）=依托“双随机、一公开”监管平台开展的抽查检查结果公开户数/依托“双随机、一公开”监管平台开展的抽查检查对象总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市场监督管理局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shd w:val="clear" w:color="000000" w:fill="FFFFFF"/>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行政执法案卷评查合格率（%），正向前沿距离法计算，满分1分。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行政执法案卷评查合格率（%）=行政执法案卷评查合格数/行政执法案卷评查数*100%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司法局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shd w:val="clear" w:color="000000" w:fill="FFFFFF"/>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具有行政执法职能的部门和单位在行政执法监督管理信息系统接入率（%），达100%得1分，每少5%扣0.2分。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具有行政执法职能的部门和单位在行政执法监督管理信息系统接入率（%）=具有行政执法职能的部门和单位在行政执法监督管理信息系统接入数/具有行政执法职能的部门和单位总数*100%</w:t>
            </w:r>
          </w:p>
        </w:tc>
        <w:tc>
          <w:tcPr>
            <w:tcW w:w="622"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自治区司法厅</w:t>
            </w:r>
          </w:p>
        </w:tc>
        <w:tc>
          <w:tcPr>
            <w:tcW w:w="382"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shd w:val="clear" w:color="000000" w:fill="FFFFFF"/>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监管事项认领率（%），正向前沿距离法计算，满分1分。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监管事项认领率（%）=监管事项认领数/监管事项应认领总数*100%</w:t>
            </w:r>
          </w:p>
        </w:tc>
        <w:tc>
          <w:tcPr>
            <w:tcW w:w="622"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政办数据中心</w:t>
            </w:r>
          </w:p>
        </w:tc>
        <w:tc>
          <w:tcPr>
            <w:tcW w:w="382" w:type="pct"/>
            <w:shd w:val="clear" w:color="auto" w:fill="auto"/>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宁夏“互联网+监管”平台</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shd w:val="clear" w:color="000000" w:fill="FFFFFF"/>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监管行为覆盖率（%），正向前沿距离法计算，满分1分。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监管行为覆盖率（%）=监管行为覆盖数/监管行为总数*100%</w:t>
            </w:r>
          </w:p>
        </w:tc>
        <w:tc>
          <w:tcPr>
            <w:tcW w:w="622"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政办数据中心</w:t>
            </w:r>
          </w:p>
        </w:tc>
        <w:tc>
          <w:tcPr>
            <w:tcW w:w="382" w:type="pct"/>
            <w:shd w:val="clear" w:color="auto" w:fill="auto"/>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宁夏“互联网+监管”平台</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shd w:val="clear" w:color="000000" w:fill="FFFFFF"/>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检查实施清单编制率（%），正向前沿距离法计算，满分1分。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检查实施清单编制率（%）=已完成编制的检查实施清单数/需编制的检查实施清单总数*100%</w:t>
            </w:r>
          </w:p>
        </w:tc>
        <w:tc>
          <w:tcPr>
            <w:tcW w:w="622"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政办数据中心</w:t>
            </w:r>
          </w:p>
        </w:tc>
        <w:tc>
          <w:tcPr>
            <w:tcW w:w="382"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宁夏“互联网+监管”平台</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hidden/>
        </w:trPr>
        <w:tc>
          <w:tcPr>
            <w:tcW w:w="181" w:type="pct"/>
            <w:shd w:val="clear" w:color="auto" w:fill="auto"/>
            <w:vAlign w:val="center"/>
          </w:tcPr>
          <w:p>
            <w:pPr>
              <w:keepNext w:val="0"/>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continue"/>
            <w:shd w:val="clear" w:color="000000" w:fill="FFFFFF"/>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“互联网+监管”系统发布监管动态条数（条），正向前沿距离法计算，满分1分。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政办数据中心</w:t>
            </w:r>
          </w:p>
        </w:tc>
        <w:tc>
          <w:tcPr>
            <w:tcW w:w="382"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宁夏“互联网+监管”平台</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p>
        </w:tc>
        <w:tc>
          <w:tcPr>
            <w:tcW w:w="225" w:type="pct"/>
            <w:vMerge w:val="restart"/>
            <w:shd w:val="clear" w:color="000000" w:fill="FFFFFF"/>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解决商业纠纷</w:t>
            </w: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已实现协作联动、信息共享的部门数量（个），正向前沿距离法计算，满分1分。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部门包括司法局、检察院、市场监管局等</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自治区高级人民法院、地方人民法院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电子送达率（%），正向前沿距离法计算，满分1分。</w:t>
            </w:r>
          </w:p>
        </w:tc>
        <w:tc>
          <w:tcPr>
            <w:tcW w:w="1223" w:type="pct"/>
            <w:shd w:val="clear" w:color="auto" w:fill="auto"/>
            <w:vAlign w:val="center"/>
          </w:tcPr>
          <w:p>
            <w:pPr>
              <w:keepNext/>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电子送达率（%）=电子送达案件数/案件总数*100%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简易程序适用率（%），正向前沿距离法，满分1分。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简易程序适用率（%）=民商事案件简易程序结案数/一审民事案件结案数*100%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调解率（%），正向前沿距离法，满分1分。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调解率（%）=民商事案件调解结案数/民商事案件结案数*100%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上诉率（%），负向前沿距离法，满分1分。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上诉率（%）=二审新收案件数/一审结案数*100%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一审民商事案件审限内结案率（%），正向前沿距离法计算，满分1分。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一审民商事案件审限内结案率（%）=一审民商事案件审限内结案数（不考虑审限变更情况）/一审民商事案件总数*100%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民商事案件被二审改判、发回率（%），负向前沿距离法计算，满分1分。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民商事案件被二审改判、发回率（%）=民商事被二审改判、发回案件数/民商事上诉案件数*100%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执行完毕率（%），达到40%得1分，每少5%减0.2分。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执行完毕率（%）=执行完毕案件数/首次执行案件结案数*100%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首执案件终本率（%），低于35%得1分，每多5%减0.2分。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首执案件终本率（%）=终结本次执行程序案件数/首次执行案件结案数*100%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执行到位率（%），达到50%得1分，每少5%减0.2分。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执行到位率（%）=</w:t>
            </w:r>
            <m:oMath>
              <m:f>
                <m:fPr>
                  <m:ctrlPr>
                    <w:rPr>
                      <w:rFonts w:hint="eastAsia" w:ascii="Cambria Math" w:hAnsi="宋体" w:cs="宋体"/>
                      <w:color w:val="000000" w:themeColor="text1"/>
                      <w:kern w:val="0"/>
                      <w:sz w:val="20"/>
                      <w:szCs w:val="20"/>
                      <w14:textFill>
                        <w14:solidFill>
                          <w14:schemeClr w14:val="tx1"/>
                        </w14:solidFill>
                      </w14:textFill>
                    </w:rPr>
                  </m:ctrlPr>
                </m:fPr>
                <m:num>
                  <m:r>
                    <m:rPr>
                      <m:sty m:val="p"/>
                    </m:rPr>
                    <w:rPr>
                      <w:rFonts w:ascii="Cambria Math" w:hAnsi="宋体" w:cs="宋体"/>
                      <w:color w:val="000000" w:themeColor="text1"/>
                      <w:kern w:val="0"/>
                      <w:sz w:val="20"/>
                      <w:szCs w:val="20"/>
                      <w14:textFill>
                        <w14:solidFill>
                          <w14:schemeClr w14:val="tx1"/>
                        </w14:solidFill>
                      </w14:textFill>
                    </w:rPr>
                    <m:t>1</m:t>
                  </m:r>
                  <m:ctrlPr>
                    <w:rPr>
                      <w:rFonts w:hint="eastAsia" w:ascii="Cambria Math" w:hAnsi="宋体" w:cs="宋体"/>
                      <w:color w:val="000000" w:themeColor="text1"/>
                      <w:kern w:val="0"/>
                      <w:sz w:val="20"/>
                      <w:szCs w:val="20"/>
                      <w14:textFill>
                        <w14:solidFill>
                          <w14:schemeClr w14:val="tx1"/>
                        </w14:solidFill>
                      </w14:textFill>
                    </w:rPr>
                  </m:ctrlPr>
                </m:num>
                <m:den>
                  <m:r>
                    <m:rPr>
                      <m:sty m:val="p"/>
                    </m:rPr>
                    <w:rPr>
                      <w:rFonts w:ascii="Cambria Math" w:hAnsi="宋体" w:cs="宋体"/>
                      <w:color w:val="000000" w:themeColor="text1"/>
                      <w:kern w:val="0"/>
                      <w:sz w:val="20"/>
                      <w:szCs w:val="20"/>
                      <w14:textFill>
                        <w14:solidFill>
                          <w14:schemeClr w14:val="tx1"/>
                        </w14:solidFill>
                      </w14:textFill>
                    </w:rPr>
                    <m:t>n</m:t>
                  </m:r>
                  <m:ctrlPr>
                    <w:rPr>
                      <w:rFonts w:hint="eastAsia" w:ascii="Cambria Math" w:hAnsi="宋体" w:cs="宋体"/>
                      <w:color w:val="000000" w:themeColor="text1"/>
                      <w:kern w:val="0"/>
                      <w:sz w:val="20"/>
                      <w:szCs w:val="20"/>
                      <w14:textFill>
                        <w14:solidFill>
                          <w14:schemeClr w14:val="tx1"/>
                        </w14:solidFill>
                      </w14:textFill>
                    </w:rPr>
                  </m:ctrlPr>
                </m:den>
              </m:f>
              <m:nary>
                <m:naryPr>
                  <m:chr m:val="∑"/>
                  <m:limLoc m:val="subSup"/>
                  <m:ctrlPr>
                    <w:rPr>
                      <w:rFonts w:ascii="Cambria Math" w:hAnsi="Cambria Math"/>
                      <w:color w:val="000000" w:themeColor="text1"/>
                      <w14:textFill>
                        <w14:solidFill>
                          <w14:schemeClr w14:val="tx1"/>
                        </w14:solidFill>
                      </w14:textFill>
                    </w:rPr>
                  </m:ctrlPr>
                </m:naryPr>
                <m:sub>
                  <m:r>
                    <m:rPr/>
                    <w:rPr>
                      <w:rFonts w:ascii="Cambria Math" w:hAnsi="Cambria Math"/>
                      <w:color w:val="000000" w:themeColor="text1"/>
                      <w14:textFill>
                        <w14:solidFill>
                          <w14:schemeClr w14:val="tx1"/>
                        </w14:solidFill>
                      </w14:textFill>
                    </w:rPr>
                    <m:t>i=1</m:t>
                  </m:r>
                  <m:ctrlPr>
                    <w:rPr>
                      <w:rFonts w:ascii="Cambria Math" w:hAnsi="Cambria Math"/>
                      <w:color w:val="000000" w:themeColor="text1"/>
                      <w14:textFill>
                        <w14:solidFill>
                          <w14:schemeClr w14:val="tx1"/>
                        </w14:solidFill>
                      </w14:textFill>
                    </w:rPr>
                  </m:ctrlPr>
                </m:sub>
                <m:sup>
                  <m:r>
                    <m:rPr/>
                    <w:rPr>
                      <w:rFonts w:ascii="Cambria Math" w:hAnsi="Cambria Math"/>
                      <w:color w:val="000000" w:themeColor="text1"/>
                      <w14:textFill>
                        <w14:solidFill>
                          <w14:schemeClr w14:val="tx1"/>
                        </w14:solidFill>
                      </w14:textFill>
                    </w:rPr>
                    <m:t>n</m:t>
                  </m:r>
                  <m:ctrlPr>
                    <w:rPr>
                      <w:rFonts w:ascii="Cambria Math" w:hAnsi="Cambria Math"/>
                      <w:color w:val="000000" w:themeColor="text1"/>
                      <w14:textFill>
                        <w14:solidFill>
                          <w14:schemeClr w14:val="tx1"/>
                        </w14:solidFill>
                      </w14:textFill>
                    </w:rPr>
                  </m:ctrlPr>
                </m:sup>
                <m:e>
                  <m:f>
                    <m:fPr>
                      <m:ctrlPr>
                        <w:rPr>
                          <w:rFonts w:ascii="Cambria Math" w:hAnsi="Cambria Math"/>
                          <w:color w:val="000000" w:themeColor="text1"/>
                          <w14:textFill>
                            <w14:solidFill>
                              <w14:schemeClr w14:val="tx1"/>
                            </w14:solidFill>
                          </w14:textFill>
                        </w:rPr>
                      </m:ctrlPr>
                    </m:fPr>
                    <m:num>
                      <m:sSup>
                        <m:sSupPr>
                          <m:ctrlPr>
                            <w:rPr>
                              <w:rFonts w:ascii="Cambria Math" w:hAnsi="Cambria Math"/>
                              <w:color w:val="000000" w:themeColor="text1"/>
                              <w14:textFill>
                                <w14:solidFill>
                                  <w14:schemeClr w14:val="tx1"/>
                                </w14:solidFill>
                              </w14:textFill>
                            </w:rPr>
                          </m:ctrlPr>
                        </m:sSupPr>
                        <m:e>
                          <m:eqArr>
                            <m:eqArrPr>
                              <m:ctrlPr>
                                <w:rPr>
                                  <w:rFonts w:hint="eastAsia" w:ascii="宋体" w:hAnsi="宋体" w:cs="宋体"/>
                                  <w:color w:val="000000" w:themeColor="text1"/>
                                  <w:kern w:val="0"/>
                                  <w:sz w:val="20"/>
                                  <w:szCs w:val="20"/>
                                  <w14:textFill>
                                    <w14:solidFill>
                                      <w14:schemeClr w14:val="tx1"/>
                                    </w14:solidFill>
                                  </w14:textFill>
                                </w:rPr>
                              </m:ctrlPr>
                            </m:eqArrPr>
                            <m:e>
                              <m:r>
                                <m:rPr>
                                  <m:sty m:val="p"/>
                                </m:rPr>
                                <w:rPr>
                                  <w:rFonts w:hint="eastAsia" w:ascii="宋体" w:hAnsi="宋体" w:cs="宋体"/>
                                  <w:color w:val="000000" w:themeColor="text1"/>
                                  <w:kern w:val="0"/>
                                  <w:sz w:val="20"/>
                                  <w:szCs w:val="20"/>
                                  <w14:textFill>
                                    <w14:solidFill>
                                      <w14:schemeClr w14:val="tx1"/>
                                    </w14:solidFill>
                                  </w14:textFill>
                                </w:rPr>
                                <m:t>已结金钱</m:t>
                              </m:r>
                              <m:r>
                                <m:rPr>
                                  <m:sty m:val="p"/>
                                </m:rPr>
                                <w:rPr>
                                  <w:rFonts w:hint="eastAsia" w:ascii="Cambria Math" w:hAnsi="Cambria Math" w:cs="宋体"/>
                                  <w:color w:val="000000" w:themeColor="text1"/>
                                  <w:kern w:val="0"/>
                                  <w:sz w:val="20"/>
                                  <w:szCs w:val="20"/>
                                  <w14:textFill>
                                    <w14:solidFill>
                                      <w14:schemeClr w14:val="tx1"/>
                                    </w14:solidFill>
                                  </w14:textFill>
                                </w:rPr>
                                <m:t>债权</m:t>
                              </m:r>
                              <m:r>
                                <m:rPr>
                                  <m:sty m:val="p"/>
                                </m:rPr>
                                <w:rPr>
                                  <w:rFonts w:hint="eastAsia" w:ascii="宋体" w:hAnsi="宋体" w:cs="宋体"/>
                                  <w:color w:val="000000" w:themeColor="text1"/>
                                  <w:kern w:val="0"/>
                                  <w:sz w:val="20"/>
                                  <w:szCs w:val="20"/>
                                  <w14:textFill>
                                    <w14:solidFill>
                                      <w14:schemeClr w14:val="tx1"/>
                                    </w14:solidFill>
                                  </w14:textFill>
                                </w:rPr>
                                <m:t>案件</m:t>
                              </m:r>
                              <m:ctrlPr>
                                <w:rPr>
                                  <w:rFonts w:hint="eastAsia" w:ascii="宋体" w:hAnsi="宋体" w:cs="宋体"/>
                                  <w:color w:val="000000" w:themeColor="text1"/>
                                  <w:kern w:val="0"/>
                                  <w:sz w:val="20"/>
                                  <w:szCs w:val="20"/>
                                  <w14:textFill>
                                    <w14:solidFill>
                                      <w14:schemeClr w14:val="tx1"/>
                                    </w14:solidFill>
                                  </w14:textFill>
                                </w:rPr>
                              </m:ctrlPr>
                            </m:e>
                            <m:e>
                              <m:r>
                                <m:rPr>
                                  <m:sty m:val="p"/>
                                </m:rPr>
                                <w:rPr>
                                  <w:rFonts w:hint="eastAsia" w:ascii="宋体" w:hAnsi="宋体" w:cs="宋体"/>
                                  <w:color w:val="000000" w:themeColor="text1"/>
                                  <w:kern w:val="0"/>
                                  <w:sz w:val="20"/>
                                  <w:szCs w:val="20"/>
                                  <w14:textFill>
                                    <w14:solidFill>
                                      <w14:schemeClr w14:val="tx1"/>
                                    </w14:solidFill>
                                  </w14:textFill>
                                </w:rPr>
                                <m:t>执行</m:t>
                              </m:r>
                              <m:r>
                                <m:rPr>
                                  <m:sty m:val="p"/>
                                </m:rPr>
                                <w:rPr>
                                  <w:rFonts w:hint="eastAsia" w:ascii="Cambria Math" w:hAnsi="Cambria Math" w:cs="宋体"/>
                                  <w:color w:val="000000" w:themeColor="text1"/>
                                  <w:kern w:val="0"/>
                                  <w:sz w:val="20"/>
                                  <w:szCs w:val="20"/>
                                  <w14:textFill>
                                    <w14:solidFill>
                                      <w14:schemeClr w14:val="tx1"/>
                                    </w14:solidFill>
                                  </w14:textFill>
                                </w:rPr>
                                <m:t>到位</m:t>
                              </m:r>
                              <m:r>
                                <m:rPr>
                                  <m:sty m:val="p"/>
                                </m:rPr>
                                <w:rPr>
                                  <w:rFonts w:hint="eastAsia" w:ascii="宋体" w:hAnsi="宋体" w:cs="宋体"/>
                                  <w:color w:val="000000" w:themeColor="text1"/>
                                  <w:kern w:val="0"/>
                                  <w:sz w:val="20"/>
                                  <w:szCs w:val="20"/>
                                  <w14:textFill>
                                    <w14:solidFill>
                                      <w14:schemeClr w14:val="tx1"/>
                                    </w14:solidFill>
                                  </w14:textFill>
                                </w:rPr>
                                <m:t>金额</m:t>
                              </m:r>
                              <m:ctrlPr>
                                <w:rPr>
                                  <w:rFonts w:ascii="Cambria Math" w:hAnsi="Cambria Math"/>
                                  <w:color w:val="000000" w:themeColor="text1"/>
                                  <w14:textFill>
                                    <w14:solidFill>
                                      <w14:schemeClr w14:val="tx1"/>
                                    </w14:solidFill>
                                  </w14:textFill>
                                </w:rPr>
                              </m:ctrlPr>
                            </m:e>
                          </m:eqArr>
                          <m:ctrlPr>
                            <w:rPr>
                              <w:rFonts w:ascii="Cambria Math" w:hAnsi="Cambria Math"/>
                              <w:color w:val="000000" w:themeColor="text1"/>
                              <w14:textFill>
                                <w14:solidFill>
                                  <w14:schemeClr w14:val="tx1"/>
                                </w14:solidFill>
                              </w14:textFill>
                            </w:rPr>
                          </m:ctrlPr>
                        </m:e>
                        <m:sup>
                          <m:r>
                            <m:rPr>
                              <m:sty m:val="p"/>
                            </m:rPr>
                            <w:rPr>
                              <w:rFonts w:ascii="Cambria Math" w:hAnsi="Cambria Math"/>
                              <w:color w:val="000000" w:themeColor="text1"/>
                              <w14:textFill>
                                <w14:solidFill>
                                  <w14:schemeClr w14:val="tx1"/>
                                </w14:solidFill>
                              </w14:textFill>
                            </w:rPr>
                            <m:t>i</m:t>
                          </m:r>
                          <m:ctrlPr>
                            <w:rPr>
                              <w:rFonts w:ascii="Cambria Math" w:hAnsi="Cambria Math"/>
                              <w:color w:val="000000" w:themeColor="text1"/>
                              <w14:textFill>
                                <w14:solidFill>
                                  <w14:schemeClr w14:val="tx1"/>
                                </w14:solidFill>
                              </w14:textFill>
                            </w:rPr>
                          </m:ctrlPr>
                        </m:sup>
                      </m:sSup>
                      <m:ctrlPr>
                        <w:rPr>
                          <w:rFonts w:hint="eastAsia" w:ascii="宋体" w:hAnsi="宋体" w:cs="宋体"/>
                          <w:color w:val="000000" w:themeColor="text1"/>
                          <w:kern w:val="0"/>
                          <w:sz w:val="20"/>
                          <w:szCs w:val="20"/>
                          <w14:textFill>
                            <w14:solidFill>
                              <w14:schemeClr w14:val="tx1"/>
                            </w14:solidFill>
                          </w14:textFill>
                        </w:rPr>
                      </m:ctrlPr>
                    </m:num>
                    <m:den>
                      <m:sSup>
                        <m:sSupPr>
                          <m:ctrlPr>
                            <w:rPr>
                              <w:rFonts w:hint="eastAsia" w:ascii="宋体" w:hAnsi="宋体" w:cs="宋体"/>
                              <w:color w:val="000000" w:themeColor="text1"/>
                              <w:kern w:val="0"/>
                              <w:sz w:val="20"/>
                              <w:szCs w:val="20"/>
                              <w14:textFill>
                                <w14:solidFill>
                                  <w14:schemeClr w14:val="tx1"/>
                                </w14:solidFill>
                              </w14:textFill>
                            </w:rPr>
                          </m:ctrlPr>
                        </m:sSupPr>
                        <m:e>
                          <m:eqArr>
                            <m:eqArrPr>
                              <m:ctrlPr>
                                <w:rPr>
                                  <w:rFonts w:hint="eastAsia" w:ascii="宋体" w:hAnsi="宋体" w:cs="宋体"/>
                                  <w:color w:val="000000" w:themeColor="text1"/>
                                  <w:kern w:val="0"/>
                                  <w:sz w:val="20"/>
                                  <w:szCs w:val="20"/>
                                  <w14:textFill>
                                    <w14:solidFill>
                                      <w14:schemeClr w14:val="tx1"/>
                                    </w14:solidFill>
                                  </w14:textFill>
                                </w:rPr>
                              </m:ctrlPr>
                            </m:eqArrPr>
                            <m:e>
                              <m:r>
                                <m:rPr>
                                  <m:sty m:val="p"/>
                                </m:rPr>
                                <w:rPr>
                                  <w:rFonts w:hint="eastAsia" w:ascii="宋体" w:hAnsi="宋体" w:cs="宋体"/>
                                  <w:color w:val="000000" w:themeColor="text1"/>
                                  <w:kern w:val="0"/>
                                  <w:sz w:val="20"/>
                                  <w:szCs w:val="20"/>
                                  <w14:textFill>
                                    <w14:solidFill>
                                      <w14:schemeClr w14:val="tx1"/>
                                    </w14:solidFill>
                                  </w14:textFill>
                                </w:rPr>
                                <m:t>已结金钱</m:t>
                              </m:r>
                              <m:r>
                                <m:rPr>
                                  <m:sty m:val="p"/>
                                </m:rPr>
                                <w:rPr>
                                  <w:rFonts w:hint="eastAsia" w:ascii="Cambria Math" w:hAnsi="Cambria Math" w:cs="宋体"/>
                                  <w:color w:val="000000" w:themeColor="text1"/>
                                  <w:kern w:val="0"/>
                                  <w:sz w:val="20"/>
                                  <w:szCs w:val="20"/>
                                  <w14:textFill>
                                    <w14:solidFill>
                                      <w14:schemeClr w14:val="tx1"/>
                                    </w14:solidFill>
                                  </w14:textFill>
                                </w:rPr>
                                <m:t>债权</m:t>
                              </m:r>
                              <m:r>
                                <m:rPr>
                                  <m:sty m:val="p"/>
                                </m:rPr>
                                <w:rPr>
                                  <w:rFonts w:hint="eastAsia" w:ascii="宋体" w:hAnsi="宋体" w:cs="宋体"/>
                                  <w:color w:val="000000" w:themeColor="text1"/>
                                  <w:kern w:val="0"/>
                                  <w:sz w:val="20"/>
                                  <w:szCs w:val="20"/>
                                  <w14:textFill>
                                    <w14:solidFill>
                                      <w14:schemeClr w14:val="tx1"/>
                                    </w14:solidFill>
                                  </w14:textFill>
                                </w:rPr>
                                <m:t>案件</m:t>
                              </m:r>
                              <m:ctrlPr>
                                <w:rPr>
                                  <w:rFonts w:hint="eastAsia" w:ascii="宋体" w:hAnsi="宋体" w:cs="宋体"/>
                                  <w:color w:val="000000" w:themeColor="text1"/>
                                  <w:kern w:val="0"/>
                                  <w:sz w:val="20"/>
                                  <w:szCs w:val="20"/>
                                  <w14:textFill>
                                    <w14:solidFill>
                                      <w14:schemeClr w14:val="tx1"/>
                                    </w14:solidFill>
                                  </w14:textFill>
                                </w:rPr>
                              </m:ctrlPr>
                            </m:e>
                            <m:e>
                              <m:r>
                                <m:rPr>
                                  <m:sty m:val="p"/>
                                </m:rPr>
                                <w:rPr>
                                  <w:rFonts w:hint="eastAsia" w:ascii="宋体" w:hAnsi="宋体" w:cs="宋体"/>
                                  <w:color w:val="000000" w:themeColor="text1"/>
                                  <w:kern w:val="0"/>
                                  <w:sz w:val="20"/>
                                  <w:szCs w:val="20"/>
                                  <w14:textFill>
                                    <w14:solidFill>
                                      <w14:schemeClr w14:val="tx1"/>
                                    </w14:solidFill>
                                  </w14:textFill>
                                </w:rPr>
                                <m:t>申请执行金额</m:t>
                              </m:r>
                              <m:ctrlPr>
                                <w:rPr>
                                  <w:rFonts w:ascii="Cambria Math" w:hAnsi="Cambria Math"/>
                                  <w:color w:val="000000" w:themeColor="text1"/>
                                  <w14:textFill>
                                    <w14:solidFill>
                                      <w14:schemeClr w14:val="tx1"/>
                                    </w14:solidFill>
                                  </w14:textFill>
                                </w:rPr>
                              </m:ctrlPr>
                            </m:e>
                          </m:eqArr>
                          <m:ctrlPr>
                            <w:rPr>
                              <w:rFonts w:hint="eastAsia" w:ascii="宋体" w:hAnsi="宋体" w:cs="宋体"/>
                              <w:color w:val="000000" w:themeColor="text1"/>
                              <w:kern w:val="0"/>
                              <w:sz w:val="20"/>
                              <w:szCs w:val="20"/>
                              <w14:textFill>
                                <w14:solidFill>
                                  <w14:schemeClr w14:val="tx1"/>
                                </w14:solidFill>
                              </w14:textFill>
                            </w:rPr>
                          </m:ctrlPr>
                        </m:e>
                        <m:sup>
                          <m:r>
                            <m:rPr>
                              <m:sty m:val="p"/>
                            </m:rPr>
                            <w:rPr>
                              <w:rFonts w:ascii="Cambria Math" w:hAnsi="Cambria Math" w:cs="宋体"/>
                              <w:color w:val="000000" w:themeColor="text1"/>
                              <w:kern w:val="0"/>
                              <w:sz w:val="20"/>
                              <w:szCs w:val="20"/>
                              <w14:textFill>
                                <w14:solidFill>
                                  <w14:schemeClr w14:val="tx1"/>
                                </w14:solidFill>
                              </w14:textFill>
                            </w:rPr>
                            <m:t>i</m:t>
                          </m:r>
                          <m:ctrlPr>
                            <w:rPr>
                              <w:rFonts w:hint="eastAsia" w:ascii="宋体" w:hAnsi="宋体" w:cs="宋体"/>
                              <w:color w:val="000000" w:themeColor="text1"/>
                              <w:kern w:val="0"/>
                              <w:sz w:val="20"/>
                              <w:szCs w:val="20"/>
                              <w14:textFill>
                                <w14:solidFill>
                                  <w14:schemeClr w14:val="tx1"/>
                                </w14:solidFill>
                              </w14:textFill>
                            </w:rPr>
                          </m:ctrlPr>
                        </m:sup>
                      </m:sSup>
                      <m:ctrlPr>
                        <w:rPr>
                          <w:rFonts w:hint="eastAsia" w:ascii="宋体" w:hAnsi="宋体" w:cs="宋体"/>
                          <w:color w:val="000000" w:themeColor="text1"/>
                          <w:kern w:val="0"/>
                          <w:sz w:val="20"/>
                          <w:szCs w:val="20"/>
                          <w14:textFill>
                            <w14:solidFill>
                              <w14:schemeClr w14:val="tx1"/>
                            </w14:solidFill>
                          </w14:textFill>
                        </w:rPr>
                      </m:ctrlPr>
                    </m:den>
                  </m:f>
                  <m:ctrlPr>
                    <w:rPr>
                      <w:rFonts w:ascii="Cambria Math" w:hAnsi="Cambria Math"/>
                      <w:color w:val="000000" w:themeColor="text1"/>
                      <w14:textFill>
                        <w14:solidFill>
                          <w14:schemeClr w14:val="tx1"/>
                        </w14:solidFill>
                      </w14:textFill>
                    </w:rPr>
                  </m:ctrlPr>
                </m:e>
              </m:nary>
            </m:oMath>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平均结案时间（天），负向前沿距离法计算，满分1分。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平均结案时间（天）=实际审执总天数/结案数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restart"/>
            <w:shd w:val="clear" w:color="000000" w:fill="FFFFFF"/>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办理破产</w:t>
            </w: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已实现破产联动、信息共享的部门数量（个），正向前沿距离法计算，满分1分。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部门包括市场监管局、税务局、自规局等</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val="0"/>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破产案件结案率（%），正向前沿距离法计算，满分1分。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破产案件结案率（%）=已办结的破产案件数/受理破产案件总数*100%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重整、预重整和和解程序适用率（%），正向前沿距离法计算，满分1分。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重整、预重整和和解程序适用率（%）=适用重整、预重整和和解程序的破产案件数/受理破产案件总数*100%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破产衍生诉讼案件结案率（%），正向前沿距离法计算，满分1分。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破产衍生诉讼案件结案率（%）=已办结的破产衍生诉讼案件数/受理破产衍生诉讼案件总数*100%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破产案件总体办理效率（%），正向前沿距离法计算，满分1分。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破产案件总体办理效率（%）=3年以上未结案数量/旧存强制清算与破产案件数量*100%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“破产信息核查一件事”已实现事项数（个），正向前沿距离法计算，满分1分。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事项包括房产信息、不动产登记信息、社保参保缴费信息、医保缴存信息等</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自治区高级人民法院、地方人民法院、审批服务管理局、自治区政府办公厅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“破产信息核查一件事”平均办结时间（天），负向前沿距离法计算，满分1分。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“破产信息核查一件事”平均办结时间（天）=∑（完成时间-申请时间）/受理总笔数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自治区高级人民法院、地方人民法院、审批服务管理局、自治区政府办公厅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破产案件申请审查平均时间（天），负向前沿距离法计算，满分1分。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破产案件申请审查平均时间（天）=总申请审查时间/破产案件申请总数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破产案件平均办理时间（天），负向前沿距离法计算，满分1分。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破产案件平均办理时间（天）=已办结破产案件总耗时/已办结破产案件总数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适用快速审理方式的破产案件平均办理时间（天），负向前沿距离法计算，满分1分。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适用快速审理方式的破产案件平均办理时间（天）=适用快速审理方式的已办结破产案件总耗时/适用快速审理方式的已办结破产案件总数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破产案件平均成本占比（%），负向前沿距离法计算，满分1分。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破产案件成本（%）=案件受理费、审计费、专业人员费用、管理人员报酬、评估费等成本之和/破产财产总额*100%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债权人回收率（%），正向前沿距离法计算，满分1分。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债权人回收率（%）=通过破产清算或重整程序收回的债务金额/债务人总债务金额*100%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restart"/>
            <w:shd w:val="clear" w:color="000000" w:fill="FFFFFF"/>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信用环境</w:t>
            </w: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基于公共信用综合评价结果开展信用分级分类监管的领域数量（个），正向前沿距离法，满分1分。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发展和改革委员会</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共享的公共信用信息覆盖国家目录的比例</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%），正向前沿距离法，满分1分。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共享的公共信用信息覆盖国家目录的比例</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=本地区共享的公共信用信息条数（条）/本地区公共信用信息归集目录要求共享信息条数（条）*100%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自治区发展和改革委员会</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宁夏信用信息共享平台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共享至信用信息共享平台的企业平均信息数（条），正向前沿距离法计算，满分1分。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企业平均信息数（条）=共享至信用信息共享平台企业信息总数（条）/本地企业总数</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自治区发展和改革委员会</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政府及其部门、事业单位被列入失信被执行人单位数量占本地各级政府及其部门、事业单位总量比例（%），负向前沿距离法计算，满分1分。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占比（%）=政府及其部门、事业单位被列入失信被执行人单位数量（个）/本地各级政府及其部门、事业单位总量（个）*100%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政务、商务、社会、司法等领域未发生重大失信事件得1分，若发生不得分。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信息来源主要包括中国政府网、人民网、新华网、中国网、国际在线、中国日报网、央视网、中国青年网、中国经济网、央广网、光明网、中国新闻网、百度、腾讯网、搜狐网、新浪网、网易网、凤凰网，城市政府官网、城市信用网站、政府部门网站，以及地方媒体等2.重大失信事件指造成重大负面影响，社会影响恶劣，网民关注度高的重大失信事件例如，涉医疗、安全、食品等重大负面舆情事件</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发展和改革委员会</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本地区行政许可、行政处罚合格率（%），正向前沿距离法计算，满分1分。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自治区发展和改革委员会</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本地区行政许可、行政处罚迟报率（%），负向前沿距离法计算，满分1分。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自治区发展和改革委员会</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本地区行政许可、行政处罚瞒报率（%），负向前沿距离法计算，满分1分。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自治区发展和改革委员会</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政府部门和国有企业拖欠民营企业、中小企业账款已完成还款额度占欠款总额的比例（%），正向前沿距离法计算，满分1分。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占比（%）=政府部门和国有企业拖欠民营企业、中小企业账款已完成还款额度（元）/政府部门和国有企业拖欠民营企业、中小企业账款欠款总额（元）*100%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自治区财政厅</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市场主体信用承诺数量占市场主体总数比重（%），正向前沿距离法计算，满分1分。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市场主体信用承诺数量占市场主体总数比重（%）=做出信用承诺的市场主体数量（个）/本地区市场主体总数（个）*100%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自治区发展和改革委员会</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“信易+”工作覆盖领域数量（个），正向前沿距离法计算，满分1分。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发展和改革委员会</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严重失信主体数量占区域企业总量的比例（%），负向前沿距离法计算，满分1分。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严重失信主体数量占区域企业总量的比例（%）=本地区严重违法失信企业数量（户）/本地区市场主体中的企业总数（户）*100%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自治区发展和改革委员会</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行政复议案件案结事了率（%），</w:t>
            </w:r>
            <w:r>
              <w:rPr>
                <w:rFonts w:hint="eastAsia" w:ascii="宋体" w:hAnsi="宋体" w:cs="宋体"/>
                <w:color w:val="000000" w:themeColor="text1"/>
                <w:kern w:val="0"/>
                <w:sz w:val="20"/>
                <w:szCs w:val="20"/>
                <w:lang w:val="en-US" w:eastAsia="zh-CN"/>
                <w14:textFill>
                  <w14:solidFill>
                    <w14:schemeClr w14:val="tx1"/>
                  </w14:solidFill>
                </w14:textFill>
              </w:rPr>
              <w:t>正</w:t>
            </w:r>
            <w:r>
              <w:rPr>
                <w:rFonts w:hint="eastAsia" w:ascii="宋体" w:hAnsi="宋体" w:cs="宋体"/>
                <w:color w:val="000000" w:themeColor="text1"/>
                <w:kern w:val="0"/>
                <w:sz w:val="20"/>
                <w:szCs w:val="20"/>
                <w14:textFill>
                  <w14:solidFill>
                    <w14:schemeClr w14:val="tx1"/>
                  </w14:solidFill>
                </w14:textFill>
              </w:rPr>
              <w:t>向前沿距离法计算，满分1分。</w:t>
            </w:r>
          </w:p>
        </w:tc>
        <w:tc>
          <w:tcPr>
            <w:tcW w:w="1223" w:type="pct"/>
            <w:shd w:val="clear" w:color="auto" w:fill="auto"/>
            <w:vAlign w:val="center"/>
          </w:tcPr>
          <w:p>
            <w:pPr>
              <w:widowControl/>
              <w:adjustRightInd/>
              <w:spacing w:line="300" w:lineRule="exact"/>
              <w:jc w:val="left"/>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审结行政复议案件案结事了率（%）</w:t>
            </w:r>
            <w:r>
              <w:rPr>
                <w:rFonts w:hint="eastAsia" w:ascii="宋体" w:hAnsi="宋体" w:cs="宋体"/>
                <w:color w:val="000000" w:themeColor="text1"/>
                <w:kern w:val="0"/>
                <w:sz w:val="20"/>
                <w:szCs w:val="20"/>
                <w:lang w:val="en-US" w:eastAsia="zh-CN"/>
                <w14:textFill>
                  <w14:solidFill>
                    <w14:schemeClr w14:val="tx1"/>
                  </w14:solidFill>
                </w14:textFill>
              </w:rPr>
              <w:t>=复议后未再进入行政诉讼程序案件数/审结行政复议案件总数</w:t>
            </w:r>
            <w:r>
              <w:rPr>
                <w:rFonts w:hint="eastAsia" w:ascii="宋体" w:hAnsi="宋体" w:cs="宋体"/>
                <w:color w:val="000000" w:themeColor="text1"/>
                <w:kern w:val="0"/>
                <w:sz w:val="20"/>
                <w:szCs w:val="20"/>
                <w14:textFill>
                  <w14:solidFill>
                    <w14:schemeClr w14:val="tx1"/>
                  </w14:solidFill>
                </w14:textFill>
              </w:rPr>
              <w:t>*100%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w:t>
            </w:r>
            <w:r>
              <w:rPr>
                <w:rFonts w:hint="eastAsia" w:ascii="宋体" w:hAnsi="宋体" w:cs="宋体"/>
                <w:color w:val="000000" w:themeColor="text1"/>
                <w:kern w:val="0"/>
                <w:sz w:val="20"/>
                <w:szCs w:val="20"/>
                <w:lang w:val="en-US" w:eastAsia="zh-CN"/>
                <w14:textFill>
                  <w14:solidFill>
                    <w14:schemeClr w14:val="tx1"/>
                  </w14:solidFill>
                </w14:textFill>
              </w:rPr>
              <w:t>司法</w:t>
            </w:r>
            <w:r>
              <w:rPr>
                <w:rFonts w:hint="eastAsia" w:ascii="宋体" w:hAnsi="宋体" w:cs="宋体"/>
                <w:color w:val="000000" w:themeColor="text1"/>
                <w:kern w:val="0"/>
                <w:sz w:val="20"/>
                <w:szCs w:val="20"/>
                <w14:textFill>
                  <w14:solidFill>
                    <w14:schemeClr w14:val="tx1"/>
                  </w14:solidFill>
                </w14:textFill>
              </w:rPr>
              <w:t>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行政复议案件调撤率（%），</w:t>
            </w:r>
            <w:r>
              <w:rPr>
                <w:rFonts w:hint="eastAsia" w:ascii="宋体" w:hAnsi="宋体" w:cs="宋体"/>
                <w:color w:val="000000" w:themeColor="text1"/>
                <w:kern w:val="0"/>
                <w:sz w:val="20"/>
                <w:szCs w:val="20"/>
                <w:lang w:val="en-US" w:eastAsia="zh-CN"/>
                <w14:textFill>
                  <w14:solidFill>
                    <w14:schemeClr w14:val="tx1"/>
                  </w14:solidFill>
                </w14:textFill>
              </w:rPr>
              <w:t>正</w:t>
            </w:r>
            <w:r>
              <w:rPr>
                <w:rFonts w:hint="eastAsia" w:ascii="宋体" w:hAnsi="宋体" w:cs="宋体"/>
                <w:color w:val="000000" w:themeColor="text1"/>
                <w:kern w:val="0"/>
                <w:sz w:val="20"/>
                <w:szCs w:val="20"/>
                <w14:textFill>
                  <w14:solidFill>
                    <w14:schemeClr w14:val="tx1"/>
                  </w14:solidFill>
                </w14:textFill>
              </w:rPr>
              <w:t>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行政复议案件调撤率（%）</w:t>
            </w:r>
            <w:r>
              <w:rPr>
                <w:rFonts w:hint="eastAsia" w:ascii="宋体" w:hAnsi="宋体" w:cs="宋体"/>
                <w:color w:val="000000" w:themeColor="text1"/>
                <w:kern w:val="0"/>
                <w:sz w:val="20"/>
                <w:szCs w:val="20"/>
                <w:lang w:val="en-US" w:eastAsia="zh-CN"/>
                <w14:textFill>
                  <w14:solidFill>
                    <w14:schemeClr w14:val="tx1"/>
                  </w14:solidFill>
                </w14:textFill>
              </w:rPr>
              <w:t>=以调解、和解、申请人撤回申请等方式结案数/审结行政复议案件总数</w:t>
            </w:r>
            <w:r>
              <w:rPr>
                <w:rFonts w:hint="eastAsia" w:ascii="宋体" w:hAnsi="宋体" w:cs="宋体"/>
                <w:color w:val="000000" w:themeColor="text1"/>
                <w:kern w:val="0"/>
                <w:sz w:val="20"/>
                <w:szCs w:val="20"/>
                <w14:textFill>
                  <w14:solidFill>
                    <w14:schemeClr w14:val="tx1"/>
                  </w14:solidFill>
                </w14:textFill>
              </w:rPr>
              <w:t>*100%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w:t>
            </w:r>
            <w:r>
              <w:rPr>
                <w:rFonts w:hint="eastAsia" w:ascii="宋体" w:hAnsi="宋体" w:cs="宋体"/>
                <w:color w:val="000000" w:themeColor="text1"/>
                <w:kern w:val="0"/>
                <w:sz w:val="20"/>
                <w:szCs w:val="20"/>
                <w:lang w:val="en-US" w:eastAsia="zh-CN"/>
                <w14:textFill>
                  <w14:solidFill>
                    <w14:schemeClr w14:val="tx1"/>
                  </w14:solidFill>
                </w14:textFill>
              </w:rPr>
              <w:t>司法</w:t>
            </w:r>
            <w:r>
              <w:rPr>
                <w:rFonts w:hint="eastAsia" w:ascii="宋体" w:hAnsi="宋体" w:cs="宋体"/>
                <w:color w:val="000000" w:themeColor="text1"/>
                <w:kern w:val="0"/>
                <w:sz w:val="20"/>
                <w:szCs w:val="20"/>
                <w14:textFill>
                  <w14:solidFill>
                    <w14:schemeClr w14:val="tx1"/>
                  </w14:solidFill>
                </w14:textFill>
              </w:rPr>
              <w:t>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行政复议案件综合纠错率（%），</w:t>
            </w:r>
            <w:r>
              <w:rPr>
                <w:rFonts w:hint="eastAsia" w:ascii="宋体" w:hAnsi="宋体" w:cs="宋体"/>
                <w:color w:val="000000" w:themeColor="text1"/>
                <w:kern w:val="0"/>
                <w:sz w:val="20"/>
                <w:szCs w:val="20"/>
                <w:lang w:val="en-US" w:eastAsia="zh-CN"/>
                <w14:textFill>
                  <w14:solidFill>
                    <w14:schemeClr w14:val="tx1"/>
                  </w14:solidFill>
                </w14:textFill>
              </w:rPr>
              <w:t>正</w:t>
            </w:r>
            <w:r>
              <w:rPr>
                <w:rFonts w:hint="eastAsia" w:ascii="宋体" w:hAnsi="宋体" w:cs="宋体"/>
                <w:color w:val="000000" w:themeColor="text1"/>
                <w:kern w:val="0"/>
                <w:sz w:val="20"/>
                <w:szCs w:val="20"/>
                <w14:textFill>
                  <w14:solidFill>
                    <w14:schemeClr w14:val="tx1"/>
                  </w14:solidFill>
                </w14:textFill>
              </w:rPr>
              <w:t>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行政复议案件综合纠错率（%）</w:t>
            </w:r>
            <w:r>
              <w:rPr>
                <w:rFonts w:hint="eastAsia" w:ascii="宋体" w:hAnsi="宋体" w:cs="宋体"/>
                <w:color w:val="000000" w:themeColor="text1"/>
                <w:kern w:val="0"/>
                <w:sz w:val="20"/>
                <w:szCs w:val="20"/>
                <w:lang w:val="en-US" w:eastAsia="zh-CN"/>
                <w14:textFill>
                  <w14:solidFill>
                    <w14:schemeClr w14:val="tx1"/>
                  </w14:solidFill>
                </w14:textFill>
              </w:rPr>
              <w:t>=（纠正结案数+以调解、和解、申请人撤回申请等方式结案数）/审结行政复议案件总数</w:t>
            </w:r>
            <w:r>
              <w:rPr>
                <w:rFonts w:hint="eastAsia" w:ascii="宋体" w:hAnsi="宋体" w:cs="宋体"/>
                <w:color w:val="000000" w:themeColor="text1"/>
                <w:kern w:val="0"/>
                <w:sz w:val="20"/>
                <w:szCs w:val="20"/>
                <w14:textFill>
                  <w14:solidFill>
                    <w14:schemeClr w14:val="tx1"/>
                  </w14:solidFill>
                </w14:textFill>
              </w:rPr>
              <w:t>*100%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w:t>
            </w:r>
            <w:r>
              <w:rPr>
                <w:rFonts w:hint="eastAsia" w:ascii="宋体" w:hAnsi="宋体" w:cs="宋体"/>
                <w:color w:val="000000" w:themeColor="text1"/>
                <w:kern w:val="0"/>
                <w:sz w:val="20"/>
                <w:szCs w:val="20"/>
                <w:lang w:val="en-US" w:eastAsia="zh-CN"/>
                <w14:textFill>
                  <w14:solidFill>
                    <w14:schemeClr w14:val="tx1"/>
                  </w14:solidFill>
                </w14:textFill>
              </w:rPr>
              <w:t>司法</w:t>
            </w:r>
            <w:r>
              <w:rPr>
                <w:rFonts w:hint="eastAsia" w:ascii="宋体" w:hAnsi="宋体" w:cs="宋体"/>
                <w:color w:val="000000" w:themeColor="text1"/>
                <w:kern w:val="0"/>
                <w:sz w:val="20"/>
                <w:szCs w:val="20"/>
                <w14:textFill>
                  <w14:solidFill>
                    <w14:schemeClr w14:val="tx1"/>
                  </w14:solidFill>
                </w14:textFill>
              </w:rPr>
              <w:t>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开展各类诚信宣传活动次数（次），正向前沿距离法计算，满分1分。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发展和改革委员会</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val="0"/>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restart"/>
            <w:shd w:val="clear" w:color="000000" w:fill="FFFFFF"/>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知识产权创造、保护和运用</w:t>
            </w: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每十亿元地区生产总值对应的PCT国际专利申请量（件），正向前沿距离法，满分1分。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每十亿元地区生产总值对应的PCT国际专利申请量（件）=本地区PCT国际专利申请量（件）/本地区生产总值（十亿元）</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自治区市场监督管理厅、自治区统计局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val="0"/>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每千万元研发经费发明专利授权量（件），正向前沿距离法，满分1分。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每千万元研发经费发明专利授权量（件）=本地区发明专利授权量（件）/本地区研发投入</w:t>
            </w:r>
            <m:oMath>
              <m:r>
                <m:rPr>
                  <m:sty m:val="p"/>
                </m:rPr>
                <w:rPr>
                  <w:rFonts w:ascii="Cambria Math" w:hAnsi="宋体" w:cs="宋体"/>
                  <w:color w:val="000000" w:themeColor="text1"/>
                  <w:kern w:val="0"/>
                  <w:sz w:val="20"/>
                  <w:szCs w:val="20"/>
                  <w14:textFill>
                    <w14:solidFill>
                      <w14:schemeClr w14:val="tx1"/>
                    </w14:solidFill>
                  </w14:textFill>
                </w:rPr>
                <m:t>（</m:t>
              </m:r>
            </m:oMath>
            <w:r>
              <w:rPr>
                <w:rFonts w:hint="eastAsia" w:ascii="宋体" w:hAnsi="宋体" w:cs="宋体"/>
                <w:color w:val="000000" w:themeColor="text1"/>
                <w:kern w:val="0"/>
                <w:sz w:val="20"/>
                <w:szCs w:val="20"/>
                <w14:textFill>
                  <w14:solidFill>
                    <w14:schemeClr w14:val="tx1"/>
                  </w14:solidFill>
                </w14:textFill>
              </w:rPr>
              <w:t>千万元）</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自治区市场监督管理厅、自治区科学技术厅、自治区统计局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val="0"/>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发明专利授权量同比增长率（%），正向前沿距离法，满分1分。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发明专利授权量同比增长率（%）=（本年度发明专利授权量-上年度发明专利授权量）/上年度发明专利授权量*100%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自治区市场监督管理厅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每万人发明专利拥有量同比增长率（%），正向前沿距离法，满分1分。</w:t>
            </w:r>
          </w:p>
        </w:tc>
        <w:tc>
          <w:tcPr>
            <w:tcW w:w="1223" w:type="pct"/>
            <w:shd w:val="clear" w:color="auto" w:fill="auto"/>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每万人发明专利拥有量同比增长率（%）=截至当年年末各类专利申请（授权）量/上一年度常住人口数量（万人）*100%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自治区市场监督管理厅</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每万人口高价值发明专利拥有量（件），正向前沿距离法，满分1分。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每万人口高价值发明专利拥有量（件）=高价值发明专利拥有量/上一年度常住人口数量（万人）</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自治区市场监督管理厅</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val="0"/>
              <w:keepLines w:val="0"/>
              <w:pageBreakBefore w:val="0"/>
              <w:widowControl/>
              <w:numPr>
                <w:ilvl w:val="0"/>
                <w:numId w:val="32"/>
              </w:numPr>
              <w:tabs>
                <w:tab w:val="clear" w:pos="420"/>
              </w:tabs>
              <w:kinsoku/>
              <w:wordWrap/>
              <w:overflowPunct/>
              <w:topLinePunct w:val="0"/>
              <w:autoSpaceDE w:val="0"/>
              <w:autoSpaceDN w:val="0"/>
              <w:bidi w:val="0"/>
              <w:adjustRightInd/>
              <w:snapToGrid/>
              <w:spacing w:line="240" w:lineRule="auto"/>
              <w:ind w:left="0" w:firstLine="0"/>
              <w:jc w:val="center"/>
              <w:textAlignment w:val="auto"/>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知识产权（包括专利、商标和版权）质押融资额同比增长率（%），正向前沿距离法，满分1分。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知识产权（包括专利、商标和版权）质押融资额同比增长率（%）=（本年度知识产权质押融资额-上年度知识产权质押融资额）/上年度知识产权质押融资额*100%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自治区市场监督管理厅、自治区党委宣传部</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中小企业专利密集型产品占比（%）</w:t>
            </w:r>
            <w:r>
              <w:rPr>
                <w:rFonts w:hint="eastAsia" w:ascii="宋体" w:hAnsi="宋体" w:cs="宋体"/>
                <w:color w:val="000000" w:themeColor="text1"/>
                <w:kern w:val="0"/>
                <w:sz w:val="20"/>
                <w:szCs w:val="20"/>
                <w:highlight w:val="none"/>
                <w14:textFill>
                  <w14:solidFill>
                    <w14:schemeClr w14:val="tx1"/>
                  </w14:solidFill>
                </w14:textFill>
              </w:rPr>
              <w:t>，正向前沿距离法，满分1分。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中小企业专利密集型产品占比</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14:textFill>
                  <w14:solidFill>
                    <w14:schemeClr w14:val="tx1"/>
                  </w14:solidFill>
                </w14:textFill>
              </w:rPr>
              <w:t>=中小企业被认定的专利密集型产品数量/全部被认定的专利密集型产品总数</w:t>
            </w:r>
            <w:r>
              <w:rPr>
                <w:rFonts w:hint="eastAsia" w:ascii="宋体" w:hAnsi="宋体" w:cs="宋体"/>
                <w:color w:val="000000" w:themeColor="text1"/>
                <w:kern w:val="0"/>
                <w:sz w:val="20"/>
                <w:szCs w:val="20"/>
                <w:highlight w:val="none"/>
                <w:lang w:val="en-US" w:eastAsia="zh-CN"/>
                <w14:textFill>
                  <w14:solidFill>
                    <w14:schemeClr w14:val="tx1"/>
                  </w14:solidFill>
                </w14:textFill>
              </w:rPr>
              <w:t>*</w:t>
            </w:r>
            <w:r>
              <w:rPr>
                <w:rFonts w:hint="eastAsia" w:ascii="宋体" w:hAnsi="宋体" w:cs="宋体"/>
                <w:color w:val="000000" w:themeColor="text1"/>
                <w:kern w:val="0"/>
                <w:sz w:val="20"/>
                <w:szCs w:val="20"/>
                <w:highlight w:val="none"/>
                <w14:textFill>
                  <w14:solidFill>
                    <w14:schemeClr w14:val="tx1"/>
                  </w14:solidFill>
                </w14:textFill>
              </w:rPr>
              <w:t>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自治区市场监督管理厅</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系统平台</w:t>
            </w:r>
          </w:p>
        </w:tc>
        <w:tc>
          <w:tcPr>
            <w:tcW w:w="26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248"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24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专利转让许可数同比增长率（%），正向前沿距离法，满分1分。</w:t>
            </w:r>
          </w:p>
        </w:tc>
        <w:tc>
          <w:tcPr>
            <w:tcW w:w="1223" w:type="pct"/>
            <w:shd w:val="clear" w:color="auto" w:fill="auto"/>
            <w:vAlign w:val="center"/>
          </w:tcPr>
          <w:p>
            <w:pPr>
              <w:widowControl/>
              <w:adjustRightInd/>
              <w:spacing w:line="30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专利转让许可数同比增长率（%）=（本年度专利转让许可数-上年度专利转让许可数）/上年度专利转让许可数*100%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自治区市场监督管理厅</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知识产权行政处罚案件公开率（%），正向前沿距离法计算，满分1分。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知识产权行政处罚案件公开率（%）</w:t>
            </w: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知识产权行政处罚案件公开数（件）/知识产权行政处罚案件总数（件）*100%</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自治区市场监督管理厅</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知识产权行政执法案件平均办理周期（天），负向前沿距离法计算，满分1分。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知识产权行政执法案件平均办理周期（天）=∑（知识产权行政执法案件作出行政处罚决定时间-立案时间）/案件总数（件）</w:t>
            </w:r>
          </w:p>
        </w:tc>
        <w:tc>
          <w:tcPr>
            <w:tcW w:w="62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自治区市场监督管理厅</w:t>
            </w:r>
          </w:p>
        </w:tc>
        <w:tc>
          <w:tcPr>
            <w:tcW w:w="382" w:type="pct"/>
            <w:shd w:val="clear" w:color="auto" w:fill="auto"/>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300" w:lineRule="exact"/>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人民法院一审审结的知识产权民事诉讼案件的平均审理时间，负向前沿距离法，满分1分。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人民法院一审审结的知识产权民事诉讼案件的平均审理时间=∑（知识产权民事诉讼案件审结时间-立案时间）/案件总数（件）</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人民法院一审审结的知识产权刑事诉讼案件的平均审理时间，负向前沿距离法，满分1分。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人民法院一审审结的知识产权刑事诉讼案件的平均审理时间=∑（知识产权刑事诉讼案件审结时间-立案时间）/案件总数（件）</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专利侵权纠纷案件以行政裁决结案的案件数占比（%），正向前沿距离法，满分1分。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专利侵权纠纷案件以行政裁决结案的案件数占比（%）=专利侵权纠纷案件以行政裁决结案的案件数（个）/专利侵权纠纷案件总数（个）*100%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自治区市场监督管理厅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知识产权纠纷案件的调解率（%），正向前沿距离法，满分1分。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知识产权纠纷案件的调解率（%）=知识产权纠纷案件调解数（个）/知识产权纠纷案件可调数（个）*100%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自治区高级人民法院</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知识产权维权援助工作站、保护工作站（网点）数量（家），正向前沿距离法，满分1分。</w:t>
            </w:r>
          </w:p>
        </w:tc>
        <w:tc>
          <w:tcPr>
            <w:tcW w:w="1223" w:type="pct"/>
            <w:shd w:val="clear" w:color="auto" w:fill="auto"/>
            <w:vAlign w:val="center"/>
          </w:tcPr>
          <w:p>
            <w:pPr>
              <w:widowControl/>
              <w:adjustRightInd/>
              <w:spacing w:line="320" w:lineRule="exact"/>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自治区市场监督管理厅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非正常专利申请撤回率（%），正向前沿距离法，满分1分。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非正常专利申请撤回率（%）=本地区非正常专利撤回数量（件）/本地区非正常专利申请数量（件）*100%</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自治区市场监督管理厅</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系统平台</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开展知识产权宣传普法、人才队伍培训等活动次数（次），正向前沿距离法，满分1分。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市场监督管理局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hidden/>
        </w:trPr>
        <w:tc>
          <w:tcPr>
            <w:tcW w:w="181" w:type="pct"/>
            <w:shd w:val="clear" w:color="auto" w:fill="auto"/>
            <w:vAlign w:val="center"/>
          </w:tcPr>
          <w:p>
            <w:pPr>
              <w:keepNext/>
              <w:widowControl/>
              <w:numPr>
                <w:ilvl w:val="0"/>
                <w:numId w:val="32"/>
              </w:numPr>
              <w:tabs>
                <w:tab w:val="clear" w:pos="420"/>
              </w:tabs>
              <w:autoSpaceDE w:val="0"/>
              <w:autoSpaceDN w:val="0"/>
              <w:adjustRightInd/>
              <w:spacing w:line="240" w:lineRule="auto"/>
              <w:ind w:left="0" w:firstLine="0"/>
              <w:jc w:val="center"/>
              <w:rPr>
                <w:rFonts w:ascii="宋体" w:hAnsi="Times New Roman" w:eastAsia="黑体"/>
                <w:vanish/>
                <w:color w:val="000000" w:themeColor="text1"/>
                <w14:textFill>
                  <w14:solidFill>
                    <w14:schemeClr w14:val="tx1"/>
                  </w14:solidFill>
                </w14:textFill>
              </w:rPr>
            </w:pPr>
          </w:p>
        </w:tc>
        <w:tc>
          <w:tcPr>
            <w:tcW w:w="231"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225" w:type="pct"/>
            <w:vMerge w:val="continue"/>
            <w:vAlign w:val="center"/>
          </w:tcPr>
          <w:p>
            <w:pPr>
              <w:widowControl/>
              <w:adjustRightInd/>
              <w:spacing w:line="240" w:lineRule="auto"/>
              <w:jc w:val="left"/>
              <w:rPr>
                <w:rFonts w:hint="eastAsia" w:ascii="宋体" w:hAnsi="宋体" w:cs="宋体"/>
                <w:color w:val="000000" w:themeColor="text1"/>
                <w:kern w:val="0"/>
                <w:sz w:val="20"/>
                <w:szCs w:val="20"/>
                <w14:textFill>
                  <w14:solidFill>
                    <w14:schemeClr w14:val="tx1"/>
                  </w14:solidFill>
                </w14:textFill>
              </w:rPr>
            </w:pPr>
          </w:p>
        </w:tc>
        <w:tc>
          <w:tcPr>
            <w:tcW w:w="1384"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知识产权综合咨询服务窗口或站点数量（个）</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知识产权公共服务机构数量</w:t>
            </w:r>
            <w:r>
              <w:rPr>
                <w:rFonts w:hint="eastAsia" w:ascii="宋体" w:hAnsi="宋体" w:cs="宋体"/>
                <w:color w:val="000000" w:themeColor="text1"/>
                <w:kern w:val="0"/>
                <w:sz w:val="20"/>
                <w:szCs w:val="20"/>
                <w:highlight w:val="none"/>
                <w14:textFill>
                  <w14:solidFill>
                    <w14:schemeClr w14:val="tx1"/>
                  </w14:solidFill>
                </w14:textFill>
              </w:rPr>
              <w:t>（个），正向前沿距离法，满分1分。</w:t>
            </w:r>
          </w:p>
        </w:tc>
        <w:tc>
          <w:tcPr>
            <w:tcW w:w="1223" w:type="pct"/>
            <w:shd w:val="clear" w:color="auto" w:fill="auto"/>
            <w:vAlign w:val="center"/>
          </w:tcPr>
          <w:p>
            <w:pPr>
              <w:widowControl/>
              <w:adjustRightInd/>
              <w:spacing w:line="240" w:lineRule="auto"/>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无</w:t>
            </w:r>
          </w:p>
        </w:tc>
        <w:tc>
          <w:tcPr>
            <w:tcW w:w="62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市场监督管理局</w:t>
            </w:r>
          </w:p>
        </w:tc>
        <w:tc>
          <w:tcPr>
            <w:tcW w:w="382" w:type="pct"/>
            <w:shd w:val="clear" w:color="auto" w:fill="auto"/>
            <w:vAlign w:val="center"/>
          </w:tcPr>
          <w:p>
            <w:pPr>
              <w:widowControl/>
              <w:adjustRightInd/>
              <w:spacing w:line="240" w:lineRule="auto"/>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现场核查</w:t>
            </w:r>
          </w:p>
        </w:tc>
        <w:tc>
          <w:tcPr>
            <w:tcW w:w="26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248"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240" w:type="pct"/>
            <w:shd w:val="clear" w:color="auto" w:fill="auto"/>
            <w:noWrap/>
            <w:vAlign w:val="center"/>
          </w:tcPr>
          <w:p>
            <w:pPr>
              <w:widowControl/>
              <w:adjustRightInd/>
              <w:spacing w:line="240" w:lineRule="auto"/>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r>
    </w:tbl>
    <w:p>
      <w:pPr>
        <w:pStyle w:val="59"/>
        <w:ind w:firstLine="0" w:firstLineChars="0"/>
      </w:pPr>
    </w:p>
    <w:p>
      <w:pPr>
        <w:pStyle w:val="59"/>
        <w:ind w:firstLine="0" w:firstLineChars="0"/>
      </w:pPr>
    </w:p>
    <w:p>
      <w:pPr>
        <w:pStyle w:val="59"/>
        <w:ind w:firstLine="0" w:firstLineChars="0"/>
        <w:sectPr>
          <w:headerReference r:id="rId18" w:type="default"/>
          <w:footerReference r:id="rId20" w:type="default"/>
          <w:headerReference r:id="rId19" w:type="even"/>
          <w:footerReference r:id="rId21" w:type="even"/>
          <w:pgSz w:w="16838" w:h="11906" w:orient="landscape"/>
          <w:pgMar w:top="1134" w:right="1871" w:bottom="1134" w:left="1134" w:header="1418" w:footer="1247" w:gutter="284"/>
          <w:cols w:space="425" w:num="1"/>
          <w:formProt w:val="0"/>
          <w:docGrid w:type="lines" w:linePitch="312" w:charSpace="0"/>
        </w:sectPr>
      </w:pPr>
    </w:p>
    <w:bookmarkEnd w:id="225"/>
    <w:p>
      <w:pPr>
        <w:pStyle w:val="66"/>
        <w:spacing w:after="156"/>
      </w:pPr>
      <w:bookmarkStart w:id="228" w:name="_Toc196128164"/>
      <w:bookmarkStart w:id="229" w:name="_Toc196128667"/>
      <w:bookmarkStart w:id="230" w:name="BookMark6"/>
      <w:r>
        <w:rPr>
          <w:rFonts w:hint="eastAsia"/>
          <w:spacing w:val="105"/>
        </w:rPr>
        <w:t>参考文</w:t>
      </w:r>
      <w:r>
        <w:rPr>
          <w:rFonts w:hint="eastAsia"/>
        </w:rPr>
        <w:t>献</w:t>
      </w:r>
      <w:bookmarkEnd w:id="228"/>
      <w:bookmarkEnd w:id="229"/>
    </w:p>
    <w:p>
      <w:pPr>
        <w:pStyle w:val="59"/>
        <w:ind w:firstLine="420"/>
      </w:pPr>
    </w:p>
    <w:p>
      <w:pPr>
        <w:pStyle w:val="59"/>
        <w:ind w:firstLine="420"/>
      </w:pPr>
    </w:p>
    <w:p>
      <w:pPr>
        <w:widowControl/>
        <w:numPr>
          <w:ilvl w:val="0"/>
          <w:numId w:val="33"/>
        </w:numPr>
        <w:tabs>
          <w:tab w:val="left" w:pos="993"/>
          <w:tab w:val="left" w:pos="1134"/>
        </w:tabs>
        <w:autoSpaceDE w:val="0"/>
        <w:autoSpaceDN w:val="0"/>
        <w:adjustRightInd/>
        <w:spacing w:line="240" w:lineRule="auto"/>
        <w:ind w:left="0" w:firstLine="420" w:firstLineChars="200"/>
        <w:rPr>
          <w:rFonts w:ascii="宋体" w:hAnsi="Times New Roman"/>
          <w:kern w:val="0"/>
        </w:rPr>
      </w:pPr>
      <w:r>
        <w:rPr>
          <w:rFonts w:hint="eastAsia" w:ascii="宋体" w:hAnsi="宋体"/>
          <w:kern w:val="0"/>
        </w:rPr>
        <w:t>GB/T 1526 信息处理</w:t>
      </w:r>
      <w:r>
        <w:rPr>
          <w:rFonts w:hint="eastAsia" w:ascii="宋体" w:hAnsi="Times New Roman"/>
          <w:kern w:val="0"/>
        </w:rPr>
        <w:t xml:space="preserve"> </w:t>
      </w:r>
      <w:r>
        <w:rPr>
          <w:rFonts w:hint="eastAsia" w:ascii="宋体" w:hAnsi="宋体"/>
          <w:kern w:val="0"/>
        </w:rPr>
        <w:t>数据流程图、程序流程图、系统流程图、程序网络图和系统资源图的文件编制符号及约定</w:t>
      </w:r>
    </w:p>
    <w:p>
      <w:pPr>
        <w:pStyle w:val="59"/>
        <w:numPr>
          <w:ilvl w:val="0"/>
          <w:numId w:val="33"/>
        </w:numPr>
        <w:tabs>
          <w:tab w:val="left" w:pos="993"/>
          <w:tab w:val="left" w:pos="1134"/>
        </w:tabs>
        <w:ind w:left="0" w:firstLine="420"/>
      </w:pPr>
      <w:r>
        <w:rPr>
          <w:rFonts w:hint="eastAsia"/>
        </w:rPr>
        <w:t xml:space="preserve"> GB/T 38956 行政许可规范化测评指南</w:t>
      </w:r>
    </w:p>
    <w:p>
      <w:pPr>
        <w:pStyle w:val="59"/>
        <w:numPr>
          <w:ilvl w:val="0"/>
          <w:numId w:val="33"/>
        </w:numPr>
        <w:tabs>
          <w:tab w:val="left" w:pos="993"/>
          <w:tab w:val="left" w:pos="1134"/>
        </w:tabs>
        <w:ind w:left="0" w:firstLine="420"/>
      </w:pPr>
      <w:r>
        <w:rPr>
          <w:rFonts w:hint="eastAsia"/>
        </w:rPr>
        <w:t xml:space="preserve"> GB/T 39045 行政许可满意度测评指南</w:t>
      </w:r>
    </w:p>
    <w:p>
      <w:pPr>
        <w:pStyle w:val="59"/>
        <w:numPr>
          <w:ilvl w:val="0"/>
          <w:numId w:val="33"/>
        </w:numPr>
        <w:tabs>
          <w:tab w:val="left" w:pos="993"/>
          <w:tab w:val="left" w:pos="1134"/>
        </w:tabs>
        <w:ind w:left="0" w:firstLine="420"/>
      </w:pPr>
      <w:r>
        <w:rPr>
          <w:rFonts w:hint="eastAsia"/>
        </w:rPr>
        <w:t xml:space="preserve"> GB/T 39735 政务服务评价工作指南</w:t>
      </w:r>
    </w:p>
    <w:p>
      <w:pPr>
        <w:pStyle w:val="59"/>
        <w:numPr>
          <w:ilvl w:val="0"/>
          <w:numId w:val="33"/>
        </w:numPr>
        <w:tabs>
          <w:tab w:val="left" w:pos="993"/>
          <w:tab w:val="left" w:pos="1134"/>
        </w:tabs>
        <w:ind w:left="0" w:firstLine="420"/>
      </w:pPr>
      <w:r>
        <w:rPr>
          <w:rFonts w:hint="eastAsia"/>
        </w:rPr>
        <w:t xml:space="preserve"> GB/T 40762 政务服务满意度评价规范</w:t>
      </w:r>
    </w:p>
    <w:p>
      <w:pPr>
        <w:widowControl/>
        <w:numPr>
          <w:ilvl w:val="0"/>
          <w:numId w:val="33"/>
        </w:numPr>
        <w:tabs>
          <w:tab w:val="left" w:pos="993"/>
          <w:tab w:val="left" w:pos="1134"/>
        </w:tabs>
        <w:autoSpaceDE w:val="0"/>
        <w:autoSpaceDN w:val="0"/>
        <w:adjustRightInd/>
        <w:spacing w:line="240" w:lineRule="auto"/>
        <w:ind w:left="0" w:firstLine="420" w:firstLineChars="200"/>
        <w:rPr>
          <w:rFonts w:ascii="宋体" w:hAnsi="Times New Roman"/>
          <w:kern w:val="0"/>
        </w:rPr>
      </w:pPr>
      <w:r>
        <w:rPr>
          <w:rFonts w:hint="eastAsia" w:ascii="宋体" w:hAnsi="宋体"/>
          <w:kern w:val="0"/>
        </w:rPr>
        <w:t xml:space="preserve"> GB/T 20001.8-2023 标准起草规则</w:t>
      </w:r>
      <w:r>
        <w:rPr>
          <w:rFonts w:hint="eastAsia" w:ascii="宋体" w:hAnsi="Times New Roman"/>
          <w:kern w:val="0"/>
        </w:rPr>
        <w:t xml:space="preserve"> </w:t>
      </w:r>
      <w:r>
        <w:rPr>
          <w:rFonts w:hint="eastAsia" w:ascii="宋体" w:hAnsi="宋体"/>
          <w:kern w:val="0"/>
        </w:rPr>
        <w:t>第8部分：评价标准</w:t>
      </w:r>
    </w:p>
    <w:p>
      <w:pPr>
        <w:widowControl/>
        <w:numPr>
          <w:ilvl w:val="0"/>
          <w:numId w:val="33"/>
        </w:numPr>
        <w:tabs>
          <w:tab w:val="left" w:pos="993"/>
          <w:tab w:val="left" w:pos="1134"/>
        </w:tabs>
        <w:autoSpaceDE w:val="0"/>
        <w:autoSpaceDN w:val="0"/>
        <w:adjustRightInd/>
        <w:spacing w:line="240" w:lineRule="auto"/>
        <w:ind w:left="0" w:firstLine="420" w:firstLineChars="200"/>
        <w:rPr>
          <w:rFonts w:ascii="宋体" w:hAnsi="Times New Roman"/>
          <w:kern w:val="0"/>
        </w:rPr>
      </w:pPr>
      <w:r>
        <w:rPr>
          <w:rFonts w:hint="eastAsia" w:ascii="宋体" w:hAnsi="宋体"/>
          <w:kern w:val="0"/>
        </w:rPr>
        <w:t xml:space="preserve"> 优化营商环境条例</w:t>
      </w:r>
    </w:p>
    <w:p>
      <w:pPr>
        <w:widowControl/>
        <w:numPr>
          <w:ilvl w:val="0"/>
          <w:numId w:val="33"/>
        </w:numPr>
        <w:tabs>
          <w:tab w:val="left" w:pos="993"/>
          <w:tab w:val="left" w:pos="1134"/>
        </w:tabs>
        <w:autoSpaceDE w:val="0"/>
        <w:autoSpaceDN w:val="0"/>
        <w:adjustRightInd/>
        <w:spacing w:line="240" w:lineRule="auto"/>
        <w:ind w:left="0" w:firstLine="420" w:firstLineChars="200"/>
        <w:rPr>
          <w:rFonts w:ascii="宋体" w:hAnsi="Times New Roman"/>
          <w:kern w:val="0"/>
        </w:rPr>
      </w:pPr>
      <w:r>
        <w:rPr>
          <w:rFonts w:hint="eastAsia" w:ascii="宋体" w:hAnsi="宋体"/>
          <w:kern w:val="0"/>
        </w:rPr>
        <w:t xml:space="preserve"> 国家标准化发展纲要</w:t>
      </w:r>
    </w:p>
    <w:p>
      <w:pPr>
        <w:widowControl/>
        <w:numPr>
          <w:ilvl w:val="0"/>
          <w:numId w:val="33"/>
        </w:numPr>
        <w:tabs>
          <w:tab w:val="left" w:pos="993"/>
          <w:tab w:val="left" w:pos="1134"/>
        </w:tabs>
        <w:autoSpaceDE w:val="0"/>
        <w:autoSpaceDN w:val="0"/>
        <w:adjustRightInd/>
        <w:spacing w:line="240" w:lineRule="auto"/>
        <w:ind w:left="0" w:firstLine="420" w:firstLineChars="200"/>
        <w:rPr>
          <w:rFonts w:ascii="宋体" w:hAnsi="Times New Roman"/>
          <w:kern w:val="0"/>
        </w:rPr>
      </w:pPr>
      <w:r>
        <w:rPr>
          <w:rFonts w:hint="eastAsia" w:ascii="宋体" w:hAnsi="宋体"/>
          <w:kern w:val="0"/>
        </w:rPr>
        <w:t xml:space="preserve"> “十四五”推动高质量发展的国家标准体系建设规划（国标委联〔2021〕36号）</w:t>
      </w:r>
    </w:p>
    <w:p>
      <w:pPr>
        <w:widowControl/>
        <w:numPr>
          <w:ilvl w:val="0"/>
          <w:numId w:val="33"/>
        </w:numPr>
        <w:tabs>
          <w:tab w:val="left" w:pos="993"/>
          <w:tab w:val="left" w:pos="1134"/>
        </w:tabs>
        <w:autoSpaceDE w:val="0"/>
        <w:autoSpaceDN w:val="0"/>
        <w:adjustRightInd/>
        <w:spacing w:line="240" w:lineRule="auto"/>
        <w:ind w:left="0" w:firstLine="420" w:firstLineChars="200"/>
        <w:rPr>
          <w:rFonts w:ascii="宋体" w:hAnsi="Times New Roman"/>
          <w:kern w:val="0"/>
        </w:rPr>
      </w:pPr>
      <w:r>
        <w:rPr>
          <w:rFonts w:hint="eastAsia" w:ascii="宋体" w:hAnsi="宋体"/>
          <w:kern w:val="0"/>
        </w:rPr>
        <w:t xml:space="preserve"> 宁夏回族自治区优化营商环境条例</w:t>
      </w:r>
    </w:p>
    <w:p>
      <w:pPr>
        <w:widowControl/>
        <w:numPr>
          <w:ilvl w:val="0"/>
          <w:numId w:val="33"/>
        </w:numPr>
        <w:tabs>
          <w:tab w:val="left" w:pos="993"/>
          <w:tab w:val="left" w:pos="1134"/>
        </w:tabs>
        <w:autoSpaceDE w:val="0"/>
        <w:autoSpaceDN w:val="0"/>
        <w:adjustRightInd/>
        <w:spacing w:line="240" w:lineRule="auto"/>
        <w:ind w:left="0" w:firstLine="420" w:firstLineChars="200"/>
        <w:rPr>
          <w:rFonts w:ascii="宋体" w:hAnsi="Times New Roman"/>
          <w:kern w:val="0"/>
        </w:rPr>
      </w:pPr>
      <w:r>
        <w:rPr>
          <w:rFonts w:hint="eastAsia" w:ascii="宋体" w:hAnsi="宋体"/>
          <w:kern w:val="0"/>
        </w:rPr>
        <w:t xml:space="preserve"> 宁夏回族自治区营商环境评价管理办法（试行）</w:t>
      </w:r>
    </w:p>
    <w:p>
      <w:pPr>
        <w:widowControl/>
        <w:numPr>
          <w:ilvl w:val="0"/>
          <w:numId w:val="33"/>
        </w:numPr>
        <w:tabs>
          <w:tab w:val="left" w:pos="993"/>
          <w:tab w:val="left" w:pos="1134"/>
        </w:tabs>
        <w:autoSpaceDE w:val="0"/>
        <w:autoSpaceDN w:val="0"/>
        <w:adjustRightInd/>
        <w:spacing w:line="240" w:lineRule="auto"/>
        <w:ind w:left="0" w:firstLine="420" w:firstLineChars="200"/>
        <w:rPr>
          <w:rFonts w:ascii="宋体" w:hAnsi="Times New Roman"/>
          <w:kern w:val="0"/>
        </w:rPr>
      </w:pPr>
      <w:r>
        <w:rPr>
          <w:rFonts w:hint="eastAsia" w:ascii="宋体" w:hAnsi="宋体"/>
          <w:kern w:val="0"/>
        </w:rPr>
        <w:t xml:space="preserve"> 宁夏回族自治区国民经济和社会发展第十四个五年规划和2035年远景目标纲要</w:t>
      </w:r>
    </w:p>
    <w:p>
      <w:pPr>
        <w:widowControl/>
        <w:numPr>
          <w:ilvl w:val="0"/>
          <w:numId w:val="33"/>
        </w:numPr>
        <w:tabs>
          <w:tab w:val="left" w:pos="993"/>
          <w:tab w:val="left" w:pos="1134"/>
        </w:tabs>
        <w:autoSpaceDE w:val="0"/>
        <w:autoSpaceDN w:val="0"/>
        <w:adjustRightInd/>
        <w:spacing w:line="240" w:lineRule="auto"/>
        <w:ind w:left="0" w:firstLine="420" w:firstLineChars="200"/>
        <w:rPr>
          <w:rFonts w:ascii="宋体" w:hAnsi="Times New Roman"/>
          <w:kern w:val="0"/>
        </w:rPr>
      </w:pPr>
      <w:r>
        <w:rPr>
          <w:rFonts w:hint="eastAsia" w:ascii="宋体" w:hAnsi="宋体"/>
          <w:kern w:val="0"/>
        </w:rPr>
        <w:t xml:space="preserve"> 宁夏回族自治区党委</w:t>
      </w:r>
      <w:r>
        <w:rPr>
          <w:rFonts w:hint="eastAsia" w:ascii="宋体" w:hAnsi="Times New Roman"/>
          <w:kern w:val="0"/>
        </w:rPr>
        <w:t xml:space="preserve"> </w:t>
      </w:r>
      <w:r>
        <w:rPr>
          <w:rFonts w:hint="eastAsia" w:ascii="宋体" w:hAnsi="宋体"/>
          <w:kern w:val="0"/>
        </w:rPr>
        <w:t>人民政府印发《关于贯彻落实〈国家标准化发展纲要〉的实施意见》（宁党发〔2022〕31号）</w:t>
      </w:r>
    </w:p>
    <w:p>
      <w:pPr>
        <w:pStyle w:val="59"/>
        <w:ind w:firstLine="420"/>
      </w:pPr>
    </w:p>
    <w:p>
      <w:pPr>
        <w:pStyle w:val="59"/>
        <w:ind w:firstLine="420"/>
      </w:pPr>
    </w:p>
    <w:bookmarkEnd w:id="230"/>
    <w:p>
      <w:pPr>
        <w:pStyle w:val="59"/>
        <w:ind w:firstLine="420"/>
      </w:pPr>
    </w:p>
    <w:sectPr>
      <w:headerReference r:id="rId22" w:type="default"/>
      <w:footerReference r:id="rId24" w:type="default"/>
      <w:headerReference r:id="rId23" w:type="even"/>
      <w:footerReference r:id="rId25"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MS Gothic">
    <w:altName w:val="宋体"/>
    <w:panose1 w:val="020B0609070205080204"/>
    <w:charset w:val="80"/>
    <w:family w:val="modern"/>
    <w:pitch w:val="default"/>
    <w:sig w:usb0="00000000" w:usb1="00000000" w:usb2="08000012" w:usb3="00000000" w:csb0="4002009F" w:csb1="DFD70000"/>
  </w:font>
  <w:font w:name="方正书宋_GBK">
    <w:panose1 w:val="02000000000000000000"/>
    <w:charset w:val="86"/>
    <w:family w:val="auto"/>
    <w:pitch w:val="default"/>
    <w:sig w:usb0="00000001" w:usb1="0800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文泉驿微米黑">
    <w:panose1 w:val="020B0606030804020204"/>
    <w:charset w:val="86"/>
    <w:family w:val="auto"/>
    <w:pitch w:val="default"/>
    <w:sig w:usb0="E10002EF" w:usb1="6BDFFCFB" w:usb2="00800036" w:usb3="00000000" w:csb0="603E019F" w:csb1="DFD70000"/>
  </w:font>
  <w:font w:name="等线">
    <w:altName w:val="微软雅黑"/>
    <w:panose1 w:val="00000000000000000000"/>
    <w:charset w:val="00"/>
    <w:family w:val="auto"/>
    <w:pitch w:val="default"/>
    <w:sig w:usb0="00000000" w:usb1="00000000" w:usb2="00000000" w:usb3="00000000" w:csb0="00000000" w:csb1="00000000"/>
  </w:font>
  <w:font w:name="迷你简粗仿宋">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 MERGEFORMAT</w:instrText>
    </w:r>
    <w:r>
      <w:fldChar w:fldCharType="separate"/>
    </w:r>
    <w:r>
      <w:rPr>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page">
                <wp:posOffset>719455</wp:posOffset>
              </wp:positionH>
              <wp:positionV relativeFrom="page">
                <wp:posOffset>6499225</wp:posOffset>
              </wp:positionV>
              <wp:extent cx="1828800" cy="1828800"/>
              <wp:effectExtent l="0" t="0" r="0" b="5715"/>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_x0000_s1026" o:spid="_x0000_s1026" o:spt="202" type="#_x0000_t202" style="position:absolute;left:0pt;margin-left:56.65pt;margin-top:511.75pt;height:144pt;width:144pt;mso-position-horizontal-relative:page;mso-position-vertical-relative:page;mso-wrap-style:none;z-index:251661312;v-text-anchor:bottom;mso-width-relative:page;mso-height-relative:page;" filled="f" stroked="f" coordsize="21600,21600" o:gfxdata="UEsFBgAAAAAAAAAAAAAAAAAAAAAAAFBLAwQKAAAAAACHTuJAAAAAAAAAAAAAAAAABAAAAGRycy9Q&#10;SwMEFAAAAAgAh07iQFENI0zbAAAADQEAAA8AAABkcnMvZG93bnJldi54bWxNj0lPwzAQhe9I/Adr&#10;kLhR2w1hCXEqhMSNrYuQuLnx1AnEdmS7C/31DCe4zXvz9OabenZwA9thTH3wCuREAEPfBtN7q2C1&#10;fLy4AZay9kYPwaOCb0wwa05Pal2ZsPdz3C2yZVTiU6UVdDmPFeep7dDpNAkjetptQnQ6k4yWm6j3&#10;VO4GPhXiijvde7rQ6REfOmy/FlunoDx+vr8l83L7fD1/OsbXj/tsN1ap8zMp7oBlPOS/MPziEzo0&#10;xLQOW28SG0jLoqAoDWJalMAocikkWWuyCilL4E3N/3/R/ABQSwMEFAAAAAgAh07iQLVMPpg5AgAA&#10;ZwQAAA4AAABkcnMvZTJvRG9jLnhtbK1US27bMBDdF+gdCO5r2a6TOoblwI3hokDQBEg/a5qiLAH8&#10;gaQtuQdob9BVN933XD5HHynbMdIusuiGGnKGb+Y9zmh63SpJtsL52uicDnp9SoTmpqj1OqefPi5f&#10;jSnxgemCSaNFTnfC0+vZyxfTxk7E0FRGFsIRgGg/aWxOqxDsJMs8r4Rivmes0HCWxikWsHXrrHCs&#10;AbqS2bDfv8wa4wrrDBfe43TROekB0T0H0JRlzcXC8I0SOnSoTkgWQMlXtfV0lqotS8HDXVl6EYjM&#10;KZiGtCIJ7FVcs9mUTdaO2armhxLYc0p4wkmxWiPpCWrBAiMbV/8FpWrujDdl6HGjso5IUgQsBv0n&#10;2jxUzIrEBVJ7exLd/z9Y/mF770hd5PSKEs0UHnz/4/v+5+/9r2/kKsrTWD9B1INFXGjfmhZNczz3&#10;OIys29Kp+AUfAj/E3Z3EFW0gPF4aD8fjPlwcvuMG+Nnjdet8eCeMItHIqcPrJVHZ9taHLvQYErNp&#10;s6ylTC8oNWlyevn6op8unDwAlxo5Iomu2GiFdtUemK1MsQMxZ7rO8JYvayS/ZT7cM4dWQMEYlnCH&#10;pZQGSczBoqQy7uu/zmN8TgX7jC8lDZorpxqzRIl8r/F2V4PRCLAhbUYXb4bYuHPP6tyjN+rGoHsH&#10;GEvLkxnjgzyapTPqC2ZqHrPCxTRHZTldHc2b0DU8ZpKL+TwFofssC7f6wfIIHeX0dr4JkDQpHWXq&#10;tDmoh/5Lb3WYldjg5/sU9fh/mP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UAAAACACHTuJA&#10;ihRmPNEAAACUAQAACwAAAAAAAAABACAAAADJAwAAX3JlbHMvLnJlbHNQSwECFAAKAAAAAACHTuJA&#10;AAAAAAAAAAAAAAAABgAAAAAAAAAAABAAAAClAwAAX3JlbHMvUEsBAhQACgAAAAAAh07iQAAAAAAA&#10;AAAAAAAAAAQAAAAAAAAAAAAQAAAAFgAAAGRycy9QSwECFAAUAAAACACHTuJAtUw+mDkCAABnBAAA&#10;DgAAAAAAAAABACAAAABAAQAAZHJzL2Uyb0RvYy54bWxQSwECFAAUAAAACACHTuJAUQ0jTNsAAAAN&#10;AQAADwAAAAAAAAABACAAAAA4AAAAZHJzL2Rvd25yZXYueG1sUEsFBgAAAAAGAAYAWQEAAOsFAAAA&#10;AA==&#10;">
              <v:fill on="f" focussize="0,0"/>
              <v:stroke on="f" weight="0.5pt"/>
              <v:imagedata o:title=""/>
              <o:lock v:ext="edit" aspectratio="f"/>
              <v:textbox style="layout-flow:vertical-ideographic;mso-fit-shape-to-text:t;">
                <w:txbxContent>
                  <w:p>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page">
                <wp:posOffset>719455</wp:posOffset>
              </wp:positionH>
              <wp:positionV relativeFrom="page">
                <wp:posOffset>863600</wp:posOffset>
              </wp:positionV>
              <wp:extent cx="1828800" cy="1828800"/>
              <wp:effectExtent l="0" t="0" r="11430" b="12065"/>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7"/>
                          </w:pPr>
                          <w:r>
                            <w:fldChar w:fldCharType="begin"/>
                          </w:r>
                          <w:r>
                            <w:instrText xml:space="preserve">PAGE   \* MERGEFORMAT</w:instrText>
                          </w:r>
                          <w:r>
                            <w:fldChar w:fldCharType="separate"/>
                          </w:r>
                          <w:r>
                            <w:rPr>
                              <w:lang w:val="zh-CN"/>
                            </w:rPr>
                            <w:t>8</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_x0000_s1026" o:spid="_x0000_s1026" o:spt="202" type="#_x0000_t202" style="position:absolute;left:0pt;margin-left:56.65pt;margin-top:68pt;height:144pt;width:144pt;mso-position-horizontal-relative:page;mso-position-vertical-relative:page;mso-wrap-style:none;z-index:251663360;v-text-anchor:bottom;mso-width-relative:page;mso-height-relative:page;" filled="f" stroked="f" coordsize="21600,21600" o:gfxdata="UEsFBgAAAAAAAAAAAAAAAAAAAAAAAFBLAwQKAAAAAACHTuJAAAAAAAAAAAAAAAAABAAAAGRycy9Q&#10;SwMEFAAAAAgAh07iQEgYhOXWAAAACwEAAA8AAABkcnMvZG93bnJldi54bWxNT8tOwzAQvCPxD9Yi&#10;caN2kqqqQpxKRXABLrQ8rk68xFH9iGy3DX/PcqK3mZ3R7EyzmZ1lJ4xpDF5CsRDA0PdBj36Q8L5/&#10;ulsDS1l5rWzwKOEHE2za66tG1Tqc/RuednlgFOJTrSSYnKea89QbdCotwoSetO8QncpE48B1VGcK&#10;d5aXQqy4U6OnD0ZN+GCwP+yOjlLmdbfdHj6/BhMfbfk8fby+7K2UtzeFuAeWcc7/ZvirT9WhpU5d&#10;OHqdmCVeVBVZCVQrGkWOpSjo0hEolwJ42/DLDe0vUEsDBBQAAAAIAIdO4kDq5mAJLgIAAFkEAAAO&#10;AAAAZHJzL2Uyb0RvYy54bWytVEtu2zAQ3RfoHQjua8kuGhiG5cCN4aKA0QRIP2uaoiwB/IGkLbkH&#10;aG/QVTfd51w+Rx8pyynSLrLohhpyhm/mvRlqft0pSQ7C+cbogo5HOSVCc1M2elfQTx/Xr6aU+MB0&#10;yaTRoqBH4en14uWLeWtnYmJqI0vhCEC0n7W2oHUIdpZlntdCMT8yVmg4K+MUC9i6XVY61gJdyWyS&#10;51dZa1xpneHCe5yueic9I7rnAJqqarhYGb5XQoce1QnJAij5urGeLlK1VSV4uK0qLwKRBQXTkFYk&#10;gb2Na7aYs9nOMVs3/FwCe04JTzgp1mgkvUCtWGBk75q/oFTDnfGmCiNuVNYTSYqAxTh/os19zaxI&#10;XCC1txfR/f+D5R8Od440JSZhTIlmCh0//fh++vlw+vWN4AwCtdbPEHdvERm6t6ZD8HDucRh5d5VT&#10;8QtGBH7Ie7zIK7pAeLw0nUynOVwcvmED/OzxunU+vBNGkWgU1KF/SVZ22PjQhw4hMZs260bK1EOp&#10;SVvQq9dv8nTh4gG41MgRSfTFRit02+7MbGvKI4g508+Gt3zdIPmG+XDHHIYBBeO5hFsslTRIYs4W&#10;JbVxX/91HuMLKthnfClpMV4F1XhNlMj3Gt0DZBgMNxjbwdB7dWMwr2gIqkkmLrggB7NyRn3BK1rG&#10;LHAxzVFJQbeDeRP6Eccr5GK5TEGYN8vCRt9bHqGjfN4u9wESJmWjLL0WZ7Uwcak359cRR/rPfYp6&#10;/CM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BQAAAAIAIdO4kCKFGY80QAAAJQBAAALAAAA&#10;AAAAAAEAIAAAALkDAABfcmVscy8ucmVsc1BLAQIUAAoAAAAAAIdO4kAAAAAAAAAAAAAAAAAGAAAA&#10;AAAAAAAAEAAAAJUDAABfcmVscy9QSwECFAAKAAAAAACHTuJAAAAAAAAAAAAAAAAABAAAAAAAAAAA&#10;ABAAAAAWAAAAZHJzL1BLAQIUABQAAAAIAIdO4kDq5mAJLgIAAFkEAAAOAAAAAAAAAAEAIAAAADsB&#10;AABkcnMvZTJvRG9jLnhtbFBLAQIUABQAAAAIAIdO4kBIGITl1gAAAAsBAAAPAAAAAAAAAAEAIAAA&#10;ADgAAABkcnMvZG93bnJldi54bWxQSwUGAAAAAAYABgBZAQAA2wUAAAAA&#10;">
              <v:fill on="f" focussize="0,0"/>
              <v:stroke on="f" weight="0.5pt"/>
              <v:imagedata o:title=""/>
              <o:lock v:ext="edit" aspectratio="f"/>
              <v:textbox inset="0mm,0mm,0mm,0mm" style="layout-flow:vertical-ideographic;mso-fit-shape-to-text:t;">
                <w:txbxContent>
                  <w:p>
                    <w:pPr>
                      <w:pStyle w:val="17"/>
                    </w:pPr>
                    <w:r>
                      <w:fldChar w:fldCharType="begin"/>
                    </w:r>
                    <w:r>
                      <w:instrText xml:space="preserve">PAGE   \* MERGEFORMAT</w:instrText>
                    </w:r>
                    <w:r>
                      <w:fldChar w:fldCharType="separate"/>
                    </w:r>
                    <w:r>
                      <w:rPr>
                        <w:lang w:val="zh-CN"/>
                      </w:rP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STYLEREF  标准文件_文件编号  \* MERGEFORMAT </w:instrText>
    </w:r>
    <w:r>
      <w:fldChar w:fldCharType="separate"/>
    </w:r>
    <w:r>
      <w:t>DB 64/T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64/T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t>DB 64/T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64/T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9539605</wp:posOffset>
              </wp:positionH>
              <wp:positionV relativeFrom="page">
                <wp:posOffset>5005070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
                            <w:fldChar w:fldCharType="begin"/>
                          </w:r>
                          <w:r>
                            <w:instrText xml:space="preserve"> STYLEREF  标准文件_文件编号  \* MERGEFORMAT </w:instrText>
                          </w:r>
                          <w:r>
                            <w:fldChar w:fldCharType="separate"/>
                          </w:r>
                          <w:r>
                            <w:t>DB 64/T XXXX—XXXX</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_x0000_s1026" o:spid="_x0000_s1026" o:spt="202" type="#_x0000_t202" style="position:absolute;left:0pt;margin-left:751.15pt;margin-top:394.1pt;height:144pt;width:144pt;mso-position-horizontal-relative:page;mso-position-vertical-relative:page;mso-wrap-style:none;z-index:251659264;v-text-anchor:bottom;mso-width-relative:page;mso-height-relative:page;" filled="f" stroked="f" coordsize="21600,21600" o:gfxdata="UEsFBgAAAAAAAAAAAAAAAAAAAAAAAFBLAwQKAAAAAACHTuJAAAAAAAAAAAAAAAAABAAAAGRycy9Q&#10;SwMEFAAAAAgAh07iQMHNWzbdAAAADgEAAA8AAABkcnMvZG93bnJldi54bWxNj0tPwzAQhO9I/Adr&#10;kbhRu0Ft0hCnQkjceLQFVerNjV0nEK8j233QX8/2BLed3dHsN9X85Hp2MCF2HiWMRwKYwcbrDq2E&#10;z4/nuwJYTAq16j0aCT8mwry+vqpUqf0Rl+awSpZRCMZSSWhTGkrOY9Map+LIDwbptvPBqUQyWK6D&#10;OlK463kmxJQ71SF9aNVgnlrTfK/2TsLk/LVeRP02e82XL+fwvnlMdmelvL0ZiwdgyZzSnxku+IQO&#10;NTFt/R51ZD3picjuySshL4oM2MWSzwSttjSJfJoBryv+v0b9C1BLAwQUAAAACACHTuJAizQlhzgC&#10;AABnBAAADgAAAGRycy9lMm9Eb2MueG1srVTNjtowEL5X6jtYvpcAZbcUEVZ0EVUl1F2J/pyN45BI&#10;/pNtSOgDtG+wp15673PxHP2cBBZte9hDL86MZ/zNfJ/Hmd7USpK9cL40OqWDXp8SobnJSr1N6edP&#10;y1djSnxgOmPSaJHSg/D0ZvbyxbSyEzE0hZGZcAQg2k8qm9IiBDtJEs8LoZjvGSs0grlxigW4bptk&#10;jlVAVzIZ9vvXSWVcZp3hwnvsLtog7RDdcwBNnpdcLAzfKaFDi+qEZAGUfFFaT2dNt3kueLjLcy8C&#10;kSkF09CsKAJ7E9dkNmWTrWO2KHnXAntOC084KVZqFD1DLVhgZOfKv6BUyZ3xJg89blTSEmkUAYtB&#10;/4k264JZ0XCB1N6eRff/D5Z/3N87UmaYBEo0U7jw48OP48/fx1/fySDKU1k/QdbaIi/U70wdU7t9&#10;j83Ius6dil/wIYhD3MNZXFEHwuOh8XA87iPEETs5wEkej1vnw3thFIlGSh1urxGV7Vc+tKmnlFhN&#10;m2UpJfbZRGpSpfT69VW/OXCOAFxq1Igk2majFepN3THYmOwAYs60k+EtX5YovmI+3DOHUUDDeCzh&#10;DksuDYqYzqKkMO7bv/ZjfkoF+4IvJRWGK6Uab4kS+UHj7t4ORiPAhsYZXb0ZwnGXkc1lRO/UrcH0&#10;4n7QXWPG/CBPZu6M+oo3NY9VEWKao7OUbk7mbWgHHm+Si/m8ScL0WRZWem15hI4aejvfBUjaKB1l&#10;arXp1MP8NXfVvZU44Jd+k/X4f5j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FAAAAAgAh07i&#10;QIoUZjzRAAAAlAEAAAsAAAAAAAAAAQAgAAAAygMAAF9yZWxzLy5yZWxzUEsBAhQACgAAAAAAh07i&#10;QAAAAAAAAAAAAAAAAAYAAAAAAAAAAAAQAAAApgMAAF9yZWxzL1BLAQIUAAoAAAAAAIdO4kAAAAAA&#10;AAAAAAAAAAAEAAAAAAAAAAAAEAAAABYAAABkcnMvUEsBAhQAFAAAAAgAh07iQIs0JYc4AgAAZwQA&#10;AA4AAAAAAAAAAQAgAAAAQgEAAGRycy9lMm9Eb2MueG1sUEsBAhQAFAAAAAgAh07iQMHNWzbdAAAA&#10;DgEAAA8AAAAAAAAAAQAgAAAAOAAAAGRycy9kb3ducmV2LnhtbFBLBQYAAAAABgAGAFkBAADsBQAA&#10;AAA=&#10;">
              <v:fill on="f" focussize="0,0"/>
              <v:stroke on="f" weight="0.5pt"/>
              <v:imagedata o:title=""/>
              <o:lock v:ext="edit" aspectratio="f"/>
              <v:textbox style="layout-flow:vertical-ideographic;mso-fit-shape-to-text:t;">
                <w:txbxContent>
                  <w:p>
                    <w:r>
                      <w:fldChar w:fldCharType="begin"/>
                    </w:r>
                    <w:r>
                      <w:instrText xml:space="preserve"> STYLEREF  标准文件_文件编号  \* MERGEFORMAT </w:instrText>
                    </w:r>
                    <w:r>
                      <w:fldChar w:fldCharType="separate"/>
                    </w:r>
                    <w:r>
                      <w:t>DB 64/T XXXX—XXXX</w:t>
                    </w:r>
                    <w: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64/T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STYLEREF  标准文件_文件编号  \* MERGEFORMAT </w:instrText>
    </w:r>
    <w:r>
      <w:fldChar w:fldCharType="separate"/>
    </w:r>
    <w:r>
      <w:t>DB 64/T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mc:AlternateContent>
        <mc:Choice Requires="wps">
          <w:drawing>
            <wp:anchor distT="0" distB="0" distL="114300" distR="114300" simplePos="0" relativeHeight="251662336" behindDoc="0" locked="0" layoutInCell="1" allowOverlap="1">
              <wp:simplePos x="0" y="0"/>
              <wp:positionH relativeFrom="page">
                <wp:posOffset>9719945</wp:posOffset>
              </wp:positionH>
              <wp:positionV relativeFrom="page">
                <wp:posOffset>899795</wp:posOffset>
              </wp:positionV>
              <wp:extent cx="1828800" cy="1828800"/>
              <wp:effectExtent l="0" t="0" r="5080" b="12065"/>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5"/>
                            <w:rPr>
                              <w:rFonts w:hint="eastAsia"/>
                            </w:rPr>
                          </w:pPr>
                          <w:r>
                            <w:fldChar w:fldCharType="begin"/>
                          </w:r>
                          <w:r>
                            <w:instrText xml:space="preserve"> STYLEREF  标准文件_文件编号 \* MERGEFORMAT </w:instrText>
                          </w:r>
                          <w:r>
                            <w:fldChar w:fldCharType="separate"/>
                          </w:r>
                          <w:r>
                            <w:t>DB 64/T XXXX—XXXX</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_x0000_s1026" o:spid="_x0000_s1026" o:spt="202" type="#_x0000_t202" style="position:absolute;left:0pt;margin-left:765.35pt;margin-top:70.85pt;height:144pt;width:144pt;mso-position-horizontal-relative:page;mso-position-vertical-relative:page;mso-wrap-style:none;z-index:251662336;v-text-anchor:bottom;mso-width-relative:page;mso-height-relative:page;" filled="f" stroked="f" coordsize="21600,21600" o:gfxdata="UEsFBgAAAAAAAAAAAAAAAAAAAAAAAFBLAwQKAAAAAACHTuJAAAAAAAAAAAAAAAAABAAAAGRycy9Q&#10;SwMEFAAAAAgAh07iQBLIuxzZAAAADQEAAA8AAABkcnMvZG93bnJldi54bWxNj81OwzAQhO9IvIO1&#10;SNyonVBoCHEqFcEFuNBCe3XiJYnqn8h22/D2bE9wm9GOZr+plpM17IghDt5JyGYCGLrW68F1Ej43&#10;LzcFsJiU08p4hxJ+MMKyvryoVKn9yX3gcZ06RiUulkpCn9JYch7bHq2KMz+io9u3D1YlsqHjOqgT&#10;lVvDcyHuuVWDow+9GvGpx3a/PlhqmYpmtdpvd10fnk3+On69v22MlNdXmXgElnBKf2E44xM61MTU&#10;+IPTkRnyd7diQVlS84zEOVJkBalGwjx/WACvK/5/Rf0LUEsDBBQAAAAIAIdO4kB1rdNnLgIAAFkE&#10;AAAOAAAAZHJzL2Uyb0RvYy54bWytVEtu2zAQ3RfoHQjua8kuGhiG5cCN4aKA0QRIP2uaoiwB/IGk&#10;LbkHaG/QVTfd51w+Rx8pyynSLrLohhpyhm/mPc5oft0pSQ7C+cbogo5HOSVCc1M2elfQTx/Xr6aU&#10;+MB0yaTRoqBH4en14uWLeWtnYmJqI0vhCEC0n7W2oHUIdpZlntdCMT8yVmg4K+MUC9i6XVY61gJd&#10;yWyS51dZa1xpneHCe5yueic9I7rnAJqqarhYGb5XQoce1QnJAij5urGeLlK1VSV4uK0qLwKRBQXT&#10;kFYkgb2Na7aYs9nOMVs3/FwCe04JTzgp1mgkvUCtWGBk75q/oFTDnfGmCiNuVNYTSYqAxTh/os19&#10;zaxIXCC1txfR/f+D5R8Od440JToBkmim8OKnH99PPx9Ov74RnEGg1voZ4u4tIkP31nQIHs49DiPv&#10;rnIqfsGIwA+s40Ve0QXC46XpZDrN4eLwDRvgZ4/XrfPhnTCKRKOgDu+XZGWHjQ996BASs2mzbqRM&#10;byg1aQt69fpNni5cPACXGjkiib7YaIVu252ZbU15BDFn+t7wlq8bJN8wH+6YQzOgYIxLuMVSSYMk&#10;5mxRUhv39V/nMb6ggn3Gl5IW7VVQjWmiRL7XeD1AhsFwg7EdDL1XNwb9OsYgWp5MXHBBDmbljPqC&#10;KVrGLHAxzVFJQbeDeRP6FscUcrFcpiD0m2Vho+8tj9BRPm+X+wAJk7JRll6Ls1rouPQ25+mILf3n&#10;PkU9/hE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AoAAAAAAIdO4kAAAAAAAAAAAAAAAAAG&#10;AAAAAAAAAAAAEAAAAJgDAABfcmVscy9QSwECFAAKAAAAAACHTuJAAAAAAAAAAAAAAAAABAAAAAAA&#10;AAAAABAAAAAWAAAAZHJzL1BLAQIUABQAAAAIAIdO4kB1rdNnLgIAAFkEAAAOAAAAAAAAAAEAIAAA&#10;AD4BAABkcnMvZTJvRG9jLnhtbFBLAQIUABQAAAAIAIdO4kASyLsc2QAAAA0BAAAPAAAAAAAAAAEA&#10;IAAAADgAAABkcnMvZG93bnJldi54bWxQSwUGAAAAAAYABgBZAQAA3gUAAAAA&#10;">
              <v:fill on="f" focussize="0,0"/>
              <v:stroke on="f" weight="0.5pt"/>
              <v:imagedata o:title=""/>
              <o:lock v:ext="edit" aspectratio="f"/>
              <v:textbox inset="0mm,0mm,0mm,0mm" style="layout-flow:vertical-ideographic;mso-fit-shape-to-text:t;">
                <w:txbxContent>
                  <w:p>
                    <w:pPr>
                      <w:pStyle w:val="65"/>
                      <w:rPr>
                        <w:rFonts w:hint="eastAsia"/>
                      </w:rPr>
                    </w:pPr>
                    <w:r>
                      <w:fldChar w:fldCharType="begin"/>
                    </w:r>
                    <w:r>
                      <w:instrText xml:space="preserve"> STYLEREF  标准文件_文件编号 \* MERGEFORMAT </w:instrText>
                    </w:r>
                    <w:r>
                      <w:fldChar w:fldCharType="separate"/>
                    </w:r>
                    <w:r>
                      <w:t>DB 64/T XXXX—XXXX</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39F12799"/>
    <w:multiLevelType w:val="singleLevel"/>
    <w:tmpl w:val="39F12799"/>
    <w:lvl w:ilvl="0" w:tentative="0">
      <w:start w:val="1"/>
      <w:numFmt w:val="decimal"/>
      <w:lvlText w:val="%1"/>
      <w:lvlJc w:val="left"/>
      <w:pPr>
        <w:tabs>
          <w:tab w:val="left" w:pos="420"/>
        </w:tabs>
        <w:ind w:left="425" w:hanging="425"/>
      </w:pPr>
      <w:rPr>
        <w:rFonts w:hint="default"/>
      </w:rPr>
    </w:lvl>
  </w:abstractNum>
  <w:abstractNum w:abstractNumId="13">
    <w:nsid w:val="3DD97BA7"/>
    <w:multiLevelType w:val="multilevel"/>
    <w:tmpl w:val="3DD97BA7"/>
    <w:lvl w:ilvl="0" w:tentative="0">
      <w:start w:val="1"/>
      <w:numFmt w:val="decimal"/>
      <w:lvlText w:val="［%1］"/>
      <w:lvlJc w:val="left"/>
      <w:pPr>
        <w:tabs>
          <w:tab w:val="left" w:pos="0"/>
        </w:tabs>
        <w:ind w:left="1140" w:hanging="720"/>
      </w:pPr>
      <w:rPr>
        <w:rFonts w:hint="default" w:ascii="Times New Roman" w:hAnsi="Times New Roman" w:cs="Times New Roman"/>
      </w:rPr>
    </w:lvl>
    <w:lvl w:ilvl="1" w:tentative="0">
      <w:start w:val="1"/>
      <w:numFmt w:val="lowerLetter"/>
      <w:lvlText w:val="%2)"/>
      <w:lvlJc w:val="left"/>
      <w:pPr>
        <w:tabs>
          <w:tab w:val="left" w:pos="0"/>
        </w:tabs>
        <w:ind w:left="1260" w:hanging="420"/>
      </w:pPr>
      <w:rPr>
        <w:rFonts w:hint="default" w:ascii="Times New Roman" w:hAnsi="Times New Roman" w:cs="Times New Roman"/>
      </w:rPr>
    </w:lvl>
    <w:lvl w:ilvl="2" w:tentative="0">
      <w:start w:val="1"/>
      <w:numFmt w:val="lowerRoman"/>
      <w:lvlText w:val="%3."/>
      <w:lvlJc w:val="right"/>
      <w:pPr>
        <w:tabs>
          <w:tab w:val="left" w:pos="0"/>
        </w:tabs>
        <w:ind w:left="1680" w:hanging="420"/>
      </w:pPr>
      <w:rPr>
        <w:rFonts w:hint="default" w:ascii="Times New Roman" w:hAnsi="Times New Roman" w:cs="Times New Roman"/>
      </w:rPr>
    </w:lvl>
    <w:lvl w:ilvl="3" w:tentative="0">
      <w:start w:val="1"/>
      <w:numFmt w:val="decimal"/>
      <w:lvlText w:val="%4."/>
      <w:lvlJc w:val="left"/>
      <w:pPr>
        <w:tabs>
          <w:tab w:val="left" w:pos="0"/>
        </w:tabs>
        <w:ind w:left="2100" w:hanging="420"/>
      </w:pPr>
      <w:rPr>
        <w:rFonts w:hint="default" w:ascii="Times New Roman" w:hAnsi="Times New Roman" w:cs="Times New Roman"/>
      </w:rPr>
    </w:lvl>
    <w:lvl w:ilvl="4" w:tentative="0">
      <w:start w:val="1"/>
      <w:numFmt w:val="lowerLetter"/>
      <w:lvlText w:val="%5)"/>
      <w:lvlJc w:val="left"/>
      <w:pPr>
        <w:tabs>
          <w:tab w:val="left" w:pos="0"/>
        </w:tabs>
        <w:ind w:left="2520" w:hanging="420"/>
      </w:pPr>
      <w:rPr>
        <w:rFonts w:hint="default" w:ascii="Times New Roman" w:hAnsi="Times New Roman" w:cs="Times New Roman"/>
      </w:rPr>
    </w:lvl>
    <w:lvl w:ilvl="5" w:tentative="0">
      <w:start w:val="1"/>
      <w:numFmt w:val="lowerRoman"/>
      <w:lvlText w:val="%6."/>
      <w:lvlJc w:val="right"/>
      <w:pPr>
        <w:tabs>
          <w:tab w:val="left" w:pos="0"/>
        </w:tabs>
        <w:ind w:left="2940" w:hanging="420"/>
      </w:pPr>
      <w:rPr>
        <w:rFonts w:hint="default" w:ascii="Times New Roman" w:hAnsi="Times New Roman" w:cs="Times New Roman"/>
      </w:rPr>
    </w:lvl>
    <w:lvl w:ilvl="6" w:tentative="0">
      <w:start w:val="1"/>
      <w:numFmt w:val="decimal"/>
      <w:lvlText w:val="%7."/>
      <w:lvlJc w:val="left"/>
      <w:pPr>
        <w:tabs>
          <w:tab w:val="left" w:pos="0"/>
        </w:tabs>
        <w:ind w:left="3360" w:hanging="420"/>
      </w:pPr>
      <w:rPr>
        <w:rFonts w:hint="default" w:ascii="Times New Roman" w:hAnsi="Times New Roman" w:cs="Times New Roman"/>
      </w:rPr>
    </w:lvl>
    <w:lvl w:ilvl="7" w:tentative="0">
      <w:start w:val="1"/>
      <w:numFmt w:val="lowerLetter"/>
      <w:lvlText w:val="%8)"/>
      <w:lvlJc w:val="left"/>
      <w:pPr>
        <w:tabs>
          <w:tab w:val="left" w:pos="0"/>
        </w:tabs>
        <w:ind w:left="3780" w:hanging="420"/>
      </w:pPr>
      <w:rPr>
        <w:rFonts w:hint="default" w:ascii="Times New Roman" w:hAnsi="Times New Roman" w:cs="Times New Roman"/>
      </w:rPr>
    </w:lvl>
    <w:lvl w:ilvl="8" w:tentative="0">
      <w:start w:val="1"/>
      <w:numFmt w:val="lowerRoman"/>
      <w:lvlText w:val="%9."/>
      <w:lvlJc w:val="right"/>
      <w:pPr>
        <w:tabs>
          <w:tab w:val="left" w:pos="0"/>
        </w:tabs>
        <w:ind w:left="4200" w:hanging="420"/>
      </w:pPr>
      <w:rPr>
        <w:rFonts w:hint="default" w:ascii="Times New Roman" w:hAnsi="Times New Roman" w:cs="Times New Roman"/>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1"/>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0"/>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2"/>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attachedTemplate r:id="rId1"/>
  <w:documentProtection w:edit="forms" w:enforcement="1" w:cryptProviderType="rsaAES" w:cryptAlgorithmClass="hash" w:cryptAlgorithmType="typeAny" w:cryptAlgorithmSid="14" w:cryptSpinCount="100000" w:hash="KP8kreJNovDj6KrRxZIpE0MAIQbV8K8oxlKNZnEA53ZarnEDP2XcOyq7EL62HuwNpPR6LiTAdUtlIzPMHiY5RA==" w:salt="9Swb0sMOKojlr5w6zRaxkw=="/>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B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B38"/>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0CBF"/>
    <w:rsid w:val="00082317"/>
    <w:rsid w:val="00083D2C"/>
    <w:rsid w:val="00086AA1"/>
    <w:rsid w:val="00087A77"/>
    <w:rsid w:val="00090CA6"/>
    <w:rsid w:val="00092B8A"/>
    <w:rsid w:val="00092FB0"/>
    <w:rsid w:val="000934C5"/>
    <w:rsid w:val="00093D25"/>
    <w:rsid w:val="00093DAB"/>
    <w:rsid w:val="00094694"/>
    <w:rsid w:val="00094D73"/>
    <w:rsid w:val="00096D63"/>
    <w:rsid w:val="000A0B60"/>
    <w:rsid w:val="000A0E0F"/>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9AE"/>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10E1"/>
    <w:rsid w:val="00243540"/>
    <w:rsid w:val="0024497B"/>
    <w:rsid w:val="0024515B"/>
    <w:rsid w:val="00246021"/>
    <w:rsid w:val="0024666E"/>
    <w:rsid w:val="00247F52"/>
    <w:rsid w:val="00250B25"/>
    <w:rsid w:val="00250BBE"/>
    <w:rsid w:val="002515C2"/>
    <w:rsid w:val="0025194F"/>
    <w:rsid w:val="0026148A"/>
    <w:rsid w:val="00262696"/>
    <w:rsid w:val="0026331F"/>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6729"/>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92E"/>
    <w:rsid w:val="003E2A69"/>
    <w:rsid w:val="003E2D49"/>
    <w:rsid w:val="003E2FD4"/>
    <w:rsid w:val="003E49F6"/>
    <w:rsid w:val="003E660F"/>
    <w:rsid w:val="003F0841"/>
    <w:rsid w:val="003F23D3"/>
    <w:rsid w:val="003F3F08"/>
    <w:rsid w:val="003F49F1"/>
    <w:rsid w:val="003F6272"/>
    <w:rsid w:val="003F6855"/>
    <w:rsid w:val="00400E72"/>
    <w:rsid w:val="00401400"/>
    <w:rsid w:val="00404869"/>
    <w:rsid w:val="00405884"/>
    <w:rsid w:val="00407D39"/>
    <w:rsid w:val="00412BBB"/>
    <w:rsid w:val="0041477A"/>
    <w:rsid w:val="004167A3"/>
    <w:rsid w:val="00432DAA"/>
    <w:rsid w:val="00434305"/>
    <w:rsid w:val="00435DF7"/>
    <w:rsid w:val="0044083F"/>
    <w:rsid w:val="00441AE7"/>
    <w:rsid w:val="00443C73"/>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2DF"/>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4898"/>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74E9"/>
    <w:rsid w:val="00722FBF"/>
    <w:rsid w:val="00722FC2"/>
    <w:rsid w:val="00724879"/>
    <w:rsid w:val="00724E1B"/>
    <w:rsid w:val="00725949"/>
    <w:rsid w:val="00727FA2"/>
    <w:rsid w:val="0073116D"/>
    <w:rsid w:val="007322D9"/>
    <w:rsid w:val="00732878"/>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BB0"/>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7548"/>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155D"/>
    <w:rsid w:val="009E4A58"/>
    <w:rsid w:val="009E5A2D"/>
    <w:rsid w:val="009E5AB2"/>
    <w:rsid w:val="009E6219"/>
    <w:rsid w:val="009F03B3"/>
    <w:rsid w:val="00A0096C"/>
    <w:rsid w:val="00A01757"/>
    <w:rsid w:val="00A028C0"/>
    <w:rsid w:val="00A02BAE"/>
    <w:rsid w:val="00A06A6B"/>
    <w:rsid w:val="00A07E47"/>
    <w:rsid w:val="00A11BFC"/>
    <w:rsid w:val="00A129D0"/>
    <w:rsid w:val="00A12C33"/>
    <w:rsid w:val="00A138BA"/>
    <w:rsid w:val="00A14C8E"/>
    <w:rsid w:val="00A153D9"/>
    <w:rsid w:val="00A15F09"/>
    <w:rsid w:val="00A169B6"/>
    <w:rsid w:val="00A2271D"/>
    <w:rsid w:val="00A237D5"/>
    <w:rsid w:val="00A30EFC"/>
    <w:rsid w:val="00A31984"/>
    <w:rsid w:val="00A3293F"/>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6F7A"/>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485E"/>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6EC2"/>
    <w:rsid w:val="00C521D6"/>
    <w:rsid w:val="00C55232"/>
    <w:rsid w:val="00C553A4"/>
    <w:rsid w:val="00C55A06"/>
    <w:rsid w:val="00C55D03"/>
    <w:rsid w:val="00C601BC"/>
    <w:rsid w:val="00C6329F"/>
    <w:rsid w:val="00C63340"/>
    <w:rsid w:val="00C643F9"/>
    <w:rsid w:val="00C64E95"/>
    <w:rsid w:val="00C71372"/>
    <w:rsid w:val="00C72410"/>
    <w:rsid w:val="00C72424"/>
    <w:rsid w:val="00C7287F"/>
    <w:rsid w:val="00C80CB8"/>
    <w:rsid w:val="00C819F8"/>
    <w:rsid w:val="00C8248C"/>
    <w:rsid w:val="00C84E33"/>
    <w:rsid w:val="00C86091"/>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4752"/>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0DD6"/>
    <w:rsid w:val="00D21E81"/>
    <w:rsid w:val="00D223DE"/>
    <w:rsid w:val="00D25E37"/>
    <w:rsid w:val="00D2661A"/>
    <w:rsid w:val="00D26963"/>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A74"/>
    <w:rsid w:val="00DF44DE"/>
    <w:rsid w:val="00DF5CBC"/>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03F"/>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5B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A7C8E"/>
    <w:rsid w:val="00FB0CB9"/>
    <w:rsid w:val="00FB231D"/>
    <w:rsid w:val="00FB45F1"/>
    <w:rsid w:val="00FB4A72"/>
    <w:rsid w:val="00FB54E8"/>
    <w:rsid w:val="00FB66E4"/>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DC381F"/>
    <w:rsid w:val="04041965"/>
    <w:rsid w:val="04C57AEE"/>
    <w:rsid w:val="09CC560A"/>
    <w:rsid w:val="17E15B07"/>
    <w:rsid w:val="1A710F45"/>
    <w:rsid w:val="1DD85032"/>
    <w:rsid w:val="1E384D3C"/>
    <w:rsid w:val="203B6020"/>
    <w:rsid w:val="273C50BD"/>
    <w:rsid w:val="2CFB5684"/>
    <w:rsid w:val="30331165"/>
    <w:rsid w:val="30C44722"/>
    <w:rsid w:val="38BF4464"/>
    <w:rsid w:val="3937652B"/>
    <w:rsid w:val="40C63523"/>
    <w:rsid w:val="451B3DDF"/>
    <w:rsid w:val="473F5FC5"/>
    <w:rsid w:val="4E7904CF"/>
    <w:rsid w:val="4EC779CB"/>
    <w:rsid w:val="51033F6B"/>
    <w:rsid w:val="592024B9"/>
    <w:rsid w:val="59D7712B"/>
    <w:rsid w:val="5B645613"/>
    <w:rsid w:val="5BBA4DEA"/>
    <w:rsid w:val="5C64566E"/>
    <w:rsid w:val="5F7B1866"/>
    <w:rsid w:val="63F1367D"/>
    <w:rsid w:val="64A73E9C"/>
    <w:rsid w:val="64F77620"/>
    <w:rsid w:val="67AE797F"/>
    <w:rsid w:val="69916615"/>
    <w:rsid w:val="6D4A0EB4"/>
    <w:rsid w:val="6FC91A41"/>
    <w:rsid w:val="6FE5E921"/>
    <w:rsid w:val="71771837"/>
    <w:rsid w:val="75265DD8"/>
    <w:rsid w:val="76DE7443"/>
    <w:rsid w:val="773C06E7"/>
    <w:rsid w:val="7AED4D20"/>
    <w:rsid w:val="7BFD55E8"/>
    <w:rsid w:val="7CD06BCC"/>
    <w:rsid w:val="7F4B2221"/>
    <w:rsid w:val="7FAD00FF"/>
    <w:rsid w:val="7FFF4459"/>
    <w:rsid w:val="D707E0A6"/>
    <w:rsid w:val="EEFDA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9"/>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8"/>
    <w:unhideWhenUsed/>
    <w:qFormat/>
    <w:uiPriority w:val="99"/>
    <w:rPr>
      <w:sz w:val="18"/>
      <w:szCs w:val="18"/>
    </w:rPr>
  </w:style>
  <w:style w:type="paragraph" w:styleId="17">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6"/>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Subtitle"/>
    <w:basedOn w:val="1"/>
    <w:link w:val="233"/>
    <w:qFormat/>
    <w:uiPriority w:val="11"/>
    <w:pPr>
      <w:spacing w:before="240" w:after="60" w:line="312" w:lineRule="auto"/>
      <w:jc w:val="center"/>
      <w:outlineLvl w:val="1"/>
    </w:pPr>
    <w:rPr>
      <w:rFonts w:ascii="Arial" w:hAnsi="Arial"/>
      <w:b/>
      <w:kern w:val="28"/>
      <w:sz w:val="32"/>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HTML Preformatted"/>
    <w:basedOn w:val="1"/>
    <w:link w:val="30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FollowedHyperlink"/>
    <w:basedOn w:val="30"/>
    <w:semiHidden/>
    <w:unhideWhenUsed/>
    <w:qFormat/>
    <w:uiPriority w:val="99"/>
    <w:rPr>
      <w:color w:val="954F72"/>
      <w:u w:val="single"/>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8"/>
    <w:qFormat/>
    <w:uiPriority w:val="99"/>
    <w:rPr>
      <w:kern w:val="2"/>
      <w:sz w:val="18"/>
      <w:szCs w:val="18"/>
    </w:rPr>
  </w:style>
  <w:style w:type="character" w:customStyle="1" w:styleId="47">
    <w:name w:val="页脚 字符"/>
    <w:link w:val="17"/>
    <w:qFormat/>
    <w:uiPriority w:val="99"/>
    <w:rPr>
      <w:rFonts w:ascii="宋体"/>
      <w:kern w:val="2"/>
      <w:sz w:val="18"/>
      <w:szCs w:val="18"/>
    </w:rPr>
  </w:style>
  <w:style w:type="character" w:customStyle="1" w:styleId="48">
    <w:name w:val="批注框文本 字符"/>
    <w:link w:val="16"/>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7"/>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3"/>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副标题 字符"/>
    <w:basedOn w:val="30"/>
    <w:link w:val="21"/>
    <w:qFormat/>
    <w:uiPriority w:val="0"/>
    <w:rPr>
      <w:rFonts w:ascii="Arial" w:hAnsi="Arial"/>
      <w:b/>
      <w:kern w:val="28"/>
      <w:sz w:val="32"/>
      <w:szCs w:val="21"/>
    </w:rPr>
  </w:style>
  <w:style w:type="character" w:customStyle="1" w:styleId="234">
    <w:name w:val="不明显参考11"/>
    <w:qFormat/>
    <w:uiPriority w:val="31"/>
    <w:rPr>
      <w:smallCaps/>
      <w:color w:val="C0504D"/>
      <w:u w:val="single"/>
    </w:rPr>
  </w:style>
  <w:style w:type="table" w:customStyle="1" w:styleId="235">
    <w:name w:val="网格型1"/>
    <w:basedOn w:val="28"/>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37">
    <w:name w:val="msonormal"/>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238">
    <w:name w:val="msointenseemphasis"/>
    <w:basedOn w:val="30"/>
    <w:qFormat/>
    <w:uiPriority w:val="0"/>
    <w:rPr>
      <w:i/>
      <w:iCs/>
      <w:color w:val="0F4761"/>
    </w:rPr>
  </w:style>
  <w:style w:type="character" w:customStyle="1" w:styleId="239">
    <w:name w:val="明显引用 字符"/>
    <w:basedOn w:val="30"/>
    <w:qFormat/>
    <w:uiPriority w:val="0"/>
    <w:rPr>
      <w:i/>
      <w:iCs/>
      <w:color w:val="0F4761"/>
    </w:rPr>
  </w:style>
  <w:style w:type="character" w:customStyle="1" w:styleId="240">
    <w:name w:val="msointensereference"/>
    <w:basedOn w:val="30"/>
    <w:qFormat/>
    <w:uiPriority w:val="0"/>
    <w:rPr>
      <w:b/>
      <w:bCs/>
      <w:smallCaps/>
      <w:color w:val="0F4761"/>
      <w:spacing w:val="5"/>
    </w:rPr>
  </w:style>
  <w:style w:type="paragraph" w:customStyle="1" w:styleId="241">
    <w:name w:val="font5"/>
    <w:basedOn w:val="1"/>
    <w:qFormat/>
    <w:uiPriority w:val="0"/>
    <w:pPr>
      <w:widowControl/>
      <w:adjustRightInd/>
      <w:spacing w:before="100" w:beforeAutospacing="1" w:after="100" w:afterAutospacing="1" w:line="240" w:lineRule="auto"/>
      <w:jc w:val="left"/>
    </w:pPr>
    <w:rPr>
      <w:rFonts w:ascii="宋体" w:hAnsi="宋体" w:cs="宋体"/>
      <w:kern w:val="0"/>
      <w:sz w:val="20"/>
      <w:szCs w:val="20"/>
    </w:rPr>
  </w:style>
  <w:style w:type="paragraph" w:customStyle="1" w:styleId="242">
    <w:name w:val="font6"/>
    <w:basedOn w:val="1"/>
    <w:qFormat/>
    <w:uiPriority w:val="0"/>
    <w:pPr>
      <w:widowControl/>
      <w:adjustRightInd/>
      <w:spacing w:before="100" w:beforeAutospacing="1" w:after="100" w:afterAutospacing="1" w:line="240" w:lineRule="auto"/>
      <w:jc w:val="left"/>
    </w:pPr>
    <w:rPr>
      <w:rFonts w:ascii="宋体" w:hAnsi="宋体" w:cs="宋体"/>
      <w:b/>
      <w:bCs/>
      <w:kern w:val="0"/>
      <w:sz w:val="20"/>
      <w:szCs w:val="20"/>
    </w:rPr>
  </w:style>
  <w:style w:type="paragraph" w:customStyle="1" w:styleId="243">
    <w:name w:val="xl67"/>
    <w:basedOn w:val="1"/>
    <w:qFormat/>
    <w:uiPriority w:val="0"/>
    <w:pPr>
      <w:widowControl/>
      <w:adjustRightInd/>
      <w:spacing w:before="100" w:beforeAutospacing="1" w:after="100" w:afterAutospacing="1" w:line="240" w:lineRule="auto"/>
      <w:jc w:val="center"/>
    </w:pPr>
    <w:rPr>
      <w:rFonts w:ascii="宋体" w:hAnsi="宋体" w:cs="宋体"/>
      <w:kern w:val="0"/>
      <w:sz w:val="24"/>
      <w:szCs w:val="24"/>
    </w:rPr>
  </w:style>
  <w:style w:type="paragraph" w:customStyle="1" w:styleId="244">
    <w:name w:val="xl68"/>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24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4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248">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49">
    <w:name w:val="xl7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center"/>
    </w:pPr>
    <w:rPr>
      <w:rFonts w:ascii="宋体" w:hAnsi="宋体" w:cs="宋体"/>
      <w:color w:val="000000"/>
      <w:kern w:val="0"/>
      <w:sz w:val="20"/>
      <w:szCs w:val="20"/>
    </w:rPr>
  </w:style>
  <w:style w:type="paragraph" w:customStyle="1" w:styleId="250">
    <w:name w:val="xl7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center"/>
    </w:pPr>
    <w:rPr>
      <w:rFonts w:ascii="宋体" w:hAnsi="宋体" w:cs="宋体"/>
      <w:kern w:val="0"/>
      <w:sz w:val="20"/>
      <w:szCs w:val="20"/>
    </w:rPr>
  </w:style>
  <w:style w:type="paragraph" w:customStyle="1" w:styleId="25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5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25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5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25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256">
    <w:name w:val="xl8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257">
    <w:name w:val="xl8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5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center"/>
    </w:pPr>
    <w:rPr>
      <w:rFonts w:ascii="宋体" w:hAnsi="宋体" w:cs="宋体"/>
      <w:kern w:val="0"/>
      <w:sz w:val="20"/>
      <w:szCs w:val="20"/>
    </w:rPr>
  </w:style>
  <w:style w:type="paragraph" w:customStyle="1" w:styleId="25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260">
    <w:name w:val="xl8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61">
    <w:name w:val="xl85"/>
    <w:basedOn w:val="1"/>
    <w:qFormat/>
    <w:uiPriority w:val="0"/>
    <w:pPr>
      <w:widowControl/>
      <w:adjustRightInd/>
      <w:spacing w:before="100" w:beforeAutospacing="1" w:after="100" w:afterAutospacing="1" w:line="240" w:lineRule="auto"/>
      <w:jc w:val="center"/>
    </w:pPr>
    <w:rPr>
      <w:rFonts w:ascii="宋体" w:hAnsi="宋体" w:cs="宋体"/>
      <w:kern w:val="0"/>
      <w:sz w:val="20"/>
      <w:szCs w:val="20"/>
    </w:rPr>
  </w:style>
  <w:style w:type="paragraph" w:customStyle="1" w:styleId="262">
    <w:name w:val="xl86"/>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63">
    <w:name w:val="xl87"/>
    <w:basedOn w:val="1"/>
    <w:qFormat/>
    <w:uiPriority w:val="0"/>
    <w:pPr>
      <w:widowControl/>
      <w:pBdr>
        <w:left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64">
    <w:name w:val="xl88"/>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65">
    <w:name w:val="xl8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266">
    <w:name w:val="xl90"/>
    <w:basedOn w:val="1"/>
    <w:qFormat/>
    <w:uiPriority w:val="0"/>
    <w:pPr>
      <w:widowControl/>
      <w:pBdr>
        <w:left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67">
    <w:name w:val="xl91"/>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268">
    <w:name w:val="xl92"/>
    <w:basedOn w:val="1"/>
    <w:qFormat/>
    <w:uiPriority w:val="0"/>
    <w:pPr>
      <w:widowControl/>
      <w:pBdr>
        <w:left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269">
    <w:name w:val="xl93"/>
    <w:basedOn w:val="1"/>
    <w:qFormat/>
    <w:uiPriority w:val="0"/>
    <w:pPr>
      <w:widowControl/>
      <w:pBdr>
        <w:top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270">
    <w:name w:val="xl94"/>
    <w:basedOn w:val="1"/>
    <w:qFormat/>
    <w:uiPriority w:val="0"/>
    <w:pPr>
      <w:widowControl/>
      <w:pBdr>
        <w:right w:val="single" w:color="auto" w:sz="4" w:space="0"/>
      </w:pBdr>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271">
    <w:name w:val="xl95"/>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272">
    <w:name w:val="xl96"/>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73">
    <w:name w:val="xl97"/>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74">
    <w:name w:val="xl9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75">
    <w:name w:val="xl99"/>
    <w:basedOn w:val="1"/>
    <w:qFormat/>
    <w:uiPriority w:val="0"/>
    <w:pPr>
      <w:widowControl/>
      <w:pBdr>
        <w:left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76">
    <w:name w:val="xl100"/>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textAlignment w:val="center"/>
    </w:pPr>
    <w:rPr>
      <w:rFonts w:ascii="宋体" w:hAnsi="宋体" w:cs="宋体"/>
      <w:kern w:val="0"/>
      <w:sz w:val="20"/>
      <w:szCs w:val="20"/>
    </w:rPr>
  </w:style>
  <w:style w:type="paragraph" w:customStyle="1" w:styleId="277">
    <w:name w:val="xl101"/>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textAlignment w:val="center"/>
    </w:pPr>
    <w:rPr>
      <w:rFonts w:ascii="宋体" w:hAnsi="宋体" w:cs="宋体"/>
      <w:kern w:val="0"/>
      <w:sz w:val="20"/>
      <w:szCs w:val="20"/>
    </w:rPr>
  </w:style>
  <w:style w:type="paragraph" w:customStyle="1" w:styleId="278">
    <w:name w:val="xl102"/>
    <w:basedOn w:val="1"/>
    <w:qFormat/>
    <w:uiPriority w:val="0"/>
    <w:pPr>
      <w:widowControl/>
      <w:pBdr>
        <w:left w:val="single" w:color="auto" w:sz="4" w:space="0"/>
        <w:right w:val="single" w:color="auto" w:sz="4" w:space="0"/>
      </w:pBdr>
      <w:adjustRightInd/>
      <w:spacing w:before="100" w:beforeAutospacing="1" w:after="100" w:afterAutospacing="1" w:line="240" w:lineRule="auto"/>
      <w:textAlignment w:val="center"/>
    </w:pPr>
    <w:rPr>
      <w:rFonts w:ascii="宋体" w:hAnsi="宋体" w:cs="宋体"/>
      <w:kern w:val="0"/>
      <w:sz w:val="20"/>
      <w:szCs w:val="20"/>
    </w:rPr>
  </w:style>
  <w:style w:type="paragraph" w:customStyle="1" w:styleId="279">
    <w:name w:val="xl103"/>
    <w:basedOn w:val="1"/>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80">
    <w:name w:val="xl104"/>
    <w:basedOn w:val="1"/>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81">
    <w:name w:val="xl105"/>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82">
    <w:name w:val="xl106"/>
    <w:basedOn w:val="1"/>
    <w:qFormat/>
    <w:uiPriority w:val="0"/>
    <w:pPr>
      <w:widowControl/>
      <w:pBdr>
        <w:left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83">
    <w:name w:val="xl107"/>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284">
    <w:name w:val="xl108"/>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85">
    <w:name w:val="xl109"/>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286">
    <w:name w:val="xl110"/>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87">
    <w:name w:val="xl111"/>
    <w:basedOn w:val="1"/>
    <w:qFormat/>
    <w:uiPriority w:val="0"/>
    <w:pPr>
      <w:widowControl/>
      <w:pBdr>
        <w:left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88">
    <w:name w:val="xl112"/>
    <w:basedOn w:val="1"/>
    <w:qFormat/>
    <w:uiPriority w:val="0"/>
    <w:pPr>
      <w:widowControl/>
      <w:pBdr>
        <w:left w:val="single" w:color="auto" w:sz="4" w:space="0"/>
        <w:right w:val="single" w:color="auto" w:sz="4" w:space="0"/>
      </w:pBdr>
      <w:adjustRightInd/>
      <w:spacing w:before="100" w:beforeAutospacing="1" w:after="100" w:afterAutospacing="1" w:line="240" w:lineRule="auto"/>
      <w:textAlignment w:val="center"/>
    </w:pPr>
    <w:rPr>
      <w:rFonts w:ascii="宋体" w:hAnsi="宋体" w:cs="宋体"/>
      <w:color w:val="000000"/>
      <w:kern w:val="0"/>
      <w:sz w:val="20"/>
      <w:szCs w:val="20"/>
    </w:rPr>
  </w:style>
  <w:style w:type="paragraph" w:customStyle="1" w:styleId="289">
    <w:name w:val="xl113"/>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textAlignment w:val="center"/>
    </w:pPr>
    <w:rPr>
      <w:rFonts w:ascii="宋体" w:hAnsi="宋体" w:cs="宋体"/>
      <w:color w:val="000000"/>
      <w:kern w:val="0"/>
      <w:sz w:val="20"/>
      <w:szCs w:val="20"/>
    </w:rPr>
  </w:style>
  <w:style w:type="paragraph" w:customStyle="1" w:styleId="290">
    <w:name w:val="xl114"/>
    <w:basedOn w:val="1"/>
    <w:qFormat/>
    <w:uiPriority w:val="0"/>
    <w:pPr>
      <w:widowControl/>
      <w:pBdr>
        <w:left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291">
    <w:name w:val="xl115"/>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textAlignment w:val="center"/>
    </w:pPr>
    <w:rPr>
      <w:rFonts w:ascii="宋体" w:hAnsi="宋体" w:cs="宋体"/>
      <w:color w:val="000000"/>
      <w:kern w:val="0"/>
      <w:sz w:val="20"/>
      <w:szCs w:val="20"/>
    </w:rPr>
  </w:style>
  <w:style w:type="paragraph" w:customStyle="1" w:styleId="292">
    <w:name w:val="xl116"/>
    <w:basedOn w:val="1"/>
    <w:qFormat/>
    <w:uiPriority w:val="0"/>
    <w:pPr>
      <w:widowControl/>
      <w:pBdr>
        <w:left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293">
    <w:name w:val="xl117"/>
    <w:basedOn w:val="1"/>
    <w:qFormat/>
    <w:uiPriority w:val="0"/>
    <w:pPr>
      <w:widowControl/>
      <w:pBdr>
        <w:top w:val="single" w:color="auto" w:sz="4" w:space="0"/>
        <w:left w:val="single" w:color="auto" w:sz="4" w:space="0"/>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94">
    <w:name w:val="xl118"/>
    <w:basedOn w:val="1"/>
    <w:qFormat/>
    <w:uiPriority w:val="0"/>
    <w:pPr>
      <w:widowControl/>
      <w:pBdr>
        <w:top w:val="single" w:color="000000" w:sz="4" w:space="0"/>
        <w:left w:val="single" w:color="000000" w:sz="4" w:space="0"/>
        <w:right w:val="single" w:color="000000" w:sz="4" w:space="0"/>
      </w:pBdr>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295">
    <w:name w:val="xl119"/>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296">
    <w:name w:val="xl120"/>
    <w:basedOn w:val="1"/>
    <w:qFormat/>
    <w:uiPriority w:val="0"/>
    <w:pPr>
      <w:widowControl/>
      <w:pBdr>
        <w:left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297">
    <w:name w:val="xl121"/>
    <w:basedOn w:val="1"/>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宋体" w:hAnsi="宋体" w:cs="宋体"/>
      <w:kern w:val="0"/>
      <w:sz w:val="20"/>
      <w:szCs w:val="20"/>
    </w:rPr>
  </w:style>
  <w:style w:type="paragraph" w:customStyle="1" w:styleId="298">
    <w:name w:val="xl122"/>
    <w:basedOn w:val="1"/>
    <w:qFormat/>
    <w:uiPriority w:val="0"/>
    <w:pPr>
      <w:widowControl/>
      <w:pBdr>
        <w:left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99">
    <w:name w:val="xl123"/>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00">
    <w:name w:val="xl124"/>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01">
    <w:name w:val="xl66"/>
    <w:basedOn w:val="1"/>
    <w:qFormat/>
    <w:uiPriority w:val="0"/>
    <w:pPr>
      <w:widowControl/>
      <w:adjustRightInd/>
      <w:spacing w:before="100" w:beforeAutospacing="1" w:after="100" w:afterAutospacing="1" w:line="240" w:lineRule="auto"/>
      <w:jc w:val="left"/>
    </w:pPr>
    <w:rPr>
      <w:rFonts w:ascii="宋体" w:hAnsi="宋体" w:cs="宋体"/>
      <w:kern w:val="0"/>
      <w:sz w:val="20"/>
      <w:szCs w:val="20"/>
    </w:rPr>
  </w:style>
  <w:style w:type="paragraph" w:customStyle="1" w:styleId="302">
    <w:name w:val="font7"/>
    <w:basedOn w:val="1"/>
    <w:qFormat/>
    <w:uiPriority w:val="0"/>
    <w:pPr>
      <w:widowControl/>
      <w:adjustRightInd/>
      <w:spacing w:before="100" w:beforeAutospacing="1" w:after="100" w:afterAutospacing="1" w:line="240" w:lineRule="auto"/>
      <w:jc w:val="left"/>
    </w:pPr>
    <w:rPr>
      <w:rFonts w:ascii="等线" w:hAnsi="等线" w:eastAsia="等线" w:cs="宋体"/>
      <w:kern w:val="0"/>
      <w:sz w:val="18"/>
      <w:szCs w:val="18"/>
    </w:rPr>
  </w:style>
  <w:style w:type="paragraph" w:customStyle="1" w:styleId="303">
    <w:name w:val="font8"/>
    <w:basedOn w:val="1"/>
    <w:qFormat/>
    <w:uiPriority w:val="0"/>
    <w:pPr>
      <w:widowControl/>
      <w:adjustRightInd/>
      <w:spacing w:before="100" w:beforeAutospacing="1" w:after="100" w:afterAutospacing="1" w:line="240" w:lineRule="auto"/>
      <w:jc w:val="left"/>
    </w:pPr>
    <w:rPr>
      <w:rFonts w:ascii="宋体" w:hAnsi="宋体" w:cs="宋体"/>
      <w:color w:val="000000"/>
      <w:kern w:val="0"/>
      <w:sz w:val="20"/>
      <w:szCs w:val="20"/>
    </w:rPr>
  </w:style>
  <w:style w:type="paragraph" w:customStyle="1" w:styleId="304">
    <w:name w:val="font9"/>
    <w:basedOn w:val="1"/>
    <w:qFormat/>
    <w:uiPriority w:val="0"/>
    <w:pPr>
      <w:widowControl/>
      <w:adjustRightInd/>
      <w:spacing w:before="100" w:beforeAutospacing="1" w:after="100" w:afterAutospacing="1" w:line="240" w:lineRule="auto"/>
      <w:jc w:val="left"/>
    </w:pPr>
    <w:rPr>
      <w:rFonts w:ascii="MS Gothic" w:hAnsi="MS Gothic" w:eastAsia="MS Gothic" w:cs="宋体"/>
      <w:color w:val="000000"/>
      <w:kern w:val="0"/>
      <w:sz w:val="20"/>
      <w:szCs w:val="20"/>
    </w:rPr>
  </w:style>
  <w:style w:type="paragraph" w:customStyle="1" w:styleId="305">
    <w:name w:val="xl64"/>
    <w:basedOn w:val="1"/>
    <w:qFormat/>
    <w:uiPriority w:val="0"/>
    <w:pPr>
      <w:widowControl/>
      <w:adjustRightInd/>
      <w:spacing w:before="100" w:beforeAutospacing="1" w:after="100" w:afterAutospacing="1" w:line="240" w:lineRule="auto"/>
      <w:jc w:val="left"/>
    </w:pPr>
    <w:rPr>
      <w:rFonts w:ascii="宋体" w:hAnsi="宋体" w:cs="宋体"/>
      <w:kern w:val="0"/>
      <w:sz w:val="20"/>
      <w:szCs w:val="20"/>
    </w:rPr>
  </w:style>
  <w:style w:type="paragraph" w:customStyle="1" w:styleId="306">
    <w:name w:val="xl65"/>
    <w:basedOn w:val="1"/>
    <w:qFormat/>
    <w:uiPriority w:val="0"/>
    <w:pPr>
      <w:widowControl/>
      <w:adjustRightInd/>
      <w:spacing w:before="100" w:beforeAutospacing="1" w:after="100" w:afterAutospacing="1" w:line="240" w:lineRule="auto"/>
      <w:jc w:val="center"/>
    </w:pPr>
    <w:rPr>
      <w:rFonts w:ascii="宋体" w:hAnsi="宋体" w:cs="宋体"/>
      <w:kern w:val="0"/>
      <w:sz w:val="20"/>
      <w:szCs w:val="20"/>
    </w:rPr>
  </w:style>
  <w:style w:type="paragraph" w:customStyle="1" w:styleId="307">
    <w:name w:val="font10"/>
    <w:basedOn w:val="1"/>
    <w:qFormat/>
    <w:uiPriority w:val="0"/>
    <w:pPr>
      <w:widowControl/>
      <w:adjustRightInd/>
      <w:spacing w:before="100" w:beforeAutospacing="1" w:after="100" w:afterAutospacing="1" w:line="240" w:lineRule="auto"/>
      <w:jc w:val="left"/>
    </w:pPr>
    <w:rPr>
      <w:rFonts w:ascii="宋体" w:hAnsi="宋体" w:cs="宋体"/>
      <w:kern w:val="0"/>
      <w:sz w:val="18"/>
      <w:szCs w:val="18"/>
    </w:rPr>
  </w:style>
  <w:style w:type="character" w:customStyle="1" w:styleId="308">
    <w:name w:val="HTML 预设格式 字符"/>
    <w:basedOn w:val="30"/>
    <w:link w:val="26"/>
    <w:semiHidden/>
    <w:qFormat/>
    <w:uiPriority w:val="99"/>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glossaryDocument" Target="glossary/document.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image" Target="media/image1.tiff"/><Relationship Id="rId26" Type="http://schemas.openxmlformats.org/officeDocument/2006/relationships/theme" Target="theme/theme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uest/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68E587C6A004DBCB4B6041C3E5CB1FE"/>
        <w:style w:val=""/>
        <w:category>
          <w:name w:val="常规"/>
          <w:gallery w:val="placeholder"/>
        </w:category>
        <w:types>
          <w:type w:val="bbPlcHdr"/>
        </w:types>
        <w:behaviors>
          <w:behavior w:val="content"/>
        </w:behaviors>
        <w:description w:val=""/>
        <w:guid w:val="{7E812F10-E310-4B5D-9869-31780B9964B8}"/>
      </w:docPartPr>
      <w:docPartBody>
        <w:p>
          <w:pPr>
            <w:pStyle w:val="5"/>
            <w:rPr>
              <w:rFonts w:hint="eastAsia"/>
            </w:rPr>
          </w:pPr>
          <w:r>
            <w:rPr>
              <w:rStyle w:val="4"/>
              <w:rFonts w:hint="eastAsia"/>
            </w:rPr>
            <w:t>单击或点击此处输入文字。</w:t>
          </w:r>
        </w:p>
      </w:docPartBody>
    </w:docPart>
    <w:docPart>
      <w:docPartPr>
        <w:name w:val="DEA0F7CA5B164C6FB6A40447B400CC09"/>
        <w:style w:val=""/>
        <w:category>
          <w:name w:val="常规"/>
          <w:gallery w:val="placeholder"/>
        </w:category>
        <w:types>
          <w:type w:val="bbPlcHdr"/>
        </w:types>
        <w:behaviors>
          <w:behavior w:val="content"/>
        </w:behaviors>
        <w:description w:val=""/>
        <w:guid w:val="{0DEF8BED-8F97-4D0A-8802-FC71E91F40D9}"/>
      </w:docPartPr>
      <w:docPartBody>
        <w:p>
          <w:pPr>
            <w:pStyle w:val="6"/>
            <w:rPr>
              <w:rFonts w:hint="eastAsia"/>
            </w:rPr>
          </w:pPr>
          <w:r>
            <w:rPr>
              <w:rStyle w:val="4"/>
              <w:rFonts w:hint="eastAsia"/>
            </w:rPr>
            <w:t>选择一项。</w:t>
          </w:r>
        </w:p>
      </w:docPartBody>
    </w:docPart>
    <w:docPart>
      <w:docPartPr>
        <w:name w:val="67DF8857D5B0426CA9EC0912C61A836E"/>
        <w:style w:val=""/>
        <w:category>
          <w:name w:val="常规"/>
          <w:gallery w:val="placeholder"/>
        </w:category>
        <w:types>
          <w:type w:val="bbPlcHdr"/>
        </w:types>
        <w:behaviors>
          <w:behavior w:val="content"/>
        </w:behaviors>
        <w:description w:val=""/>
        <w:guid w:val="{F6F8AF04-7364-49BF-80D1-1D223E933BF5}"/>
      </w:docPartPr>
      <w:docPartBody>
        <w:p>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14"/>
    <w:rsid w:val="000004C2"/>
    <w:rsid w:val="00080CBF"/>
    <w:rsid w:val="003227A5"/>
    <w:rsid w:val="00343A35"/>
    <w:rsid w:val="00356729"/>
    <w:rsid w:val="00372A98"/>
    <w:rsid w:val="00434232"/>
    <w:rsid w:val="00574898"/>
    <w:rsid w:val="008E5779"/>
    <w:rsid w:val="00B34A0A"/>
    <w:rsid w:val="00D26963"/>
    <w:rsid w:val="00D60514"/>
    <w:rsid w:val="00EE2997"/>
    <w:rsid w:val="00FA7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68E587C6A004DBCB4B6041C3E5CB1F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DEA0F7CA5B164C6FB6A40447B400CC0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67DF8857D5B0426CA9EC0912C61A836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51</Pages>
  <Words>5008</Words>
  <Characters>5357</Characters>
  <Lines>285</Lines>
  <Paragraphs>80</Paragraphs>
  <TotalTime>0</TotalTime>
  <ScaleCrop>false</ScaleCrop>
  <LinksUpToDate>false</LinksUpToDate>
  <CharactersWithSpaces>5500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2024-12-06T12:07:00Z</dcterms:created>
  <dc:creator>Administrator</dc:creator>
  <dc:description>&lt;config cover="true" show_menu="true" version="1.0.0" doctype="SDKXY"&gt;_x000d_
&lt;/config&gt;</dc:description>
  <cp:lastModifiedBy>周</cp:lastModifiedBy>
  <cp:lastPrinted>2024-12-06T15:54:00Z</cp:lastPrinted>
  <dcterms:modified xsi:type="dcterms:W3CDTF">2025-06-03T11:30:56Z</dcterms:modified>
  <dc:title>地方标准</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eyJoZGlkIjoiYTJlMDMzMWM1Njc1OWFkOWMyMjAzNTk1MWEyZWIzNmQiLCJ1c2VySWQiOiIyNzYyOTI3NDAifQ==</vt:lpwstr>
  </property>
  <property fmtid="{D5CDD505-2E9C-101B-9397-08002B2CF9AE}" pid="15" name="KSOProductBuildVer">
    <vt:lpwstr>2052-11.8.2.11763</vt:lpwstr>
  </property>
  <property fmtid="{D5CDD505-2E9C-101B-9397-08002B2CF9AE}" pid="16" name="ICV">
    <vt:lpwstr>799BC37501FA926F706C3E68ABDB0793</vt:lpwstr>
  </property>
</Properties>
</file>